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D0D1A" w:val="clear"/>
            <w:tcMar>
              <w:top w:type="dxa" w:w="200"/>
              <w:left w:type="dxa" w:w="360"/>
              <w:bottom w:type="dxa" w:w="200"/>
              <w:right w:type="dxa" w:w="360"/>
            </w:tcMar>
          </w:tcPr>
          <w:p>
            <w:pPr>
              <w:spacing w:after="40" w:before="0"/>
            </w:pPr>
            <w:r>
              <w:rPr>
                <w:rFonts w:ascii="Arial" w:cs="Arial" w:eastAsia="Arial" w:hAnsi="Arial"/>
                <w:b/>
                <w:bCs/>
                <w:color w:val="B8860B"/>
                <w:spacing w:val="40"/>
                <w:sz w:val="16"/>
                <w:szCs w:val="16"/>
              </w:rPr>
              <w:t xml:space="preserve">ONE BUSINESS MEDIA NETWORK   ·   COLLAPSE FILES   ·   CF-001</w:t>
            </w:r>
          </w:p>
          <w:p>
            <w:pPr>
              <w:spacing w:after="20" w:before="0"/>
            </w:pPr>
            <w:r>
              <w:rPr>
                <w:rFonts w:ascii="Arial" w:cs="Arial" w:eastAsia="Arial" w:hAnsi="Arial"/>
                <w:b/>
                <w:bCs/>
                <w:color w:val="FFFFFF"/>
                <w:sz w:val="40"/>
                <w:szCs w:val="40"/>
              </w:rPr>
              <w:t xml:space="preserve">TEACHING NOTES</w:t>
            </w:r>
          </w:p>
          <w:p>
            <w:pPr>
              <w:spacing w:after="0" w:before="0"/>
            </w:pPr>
            <w:r>
              <w:rPr>
                <w:rFonts w:ascii="Arial" w:cs="Arial" w:eastAsia="Arial" w:hAnsi="Arial"/>
                <w:color w:val="888888"/>
                <w:sz w:val="16"/>
                <w:szCs w:val="16"/>
              </w:rPr>
              <w:t xml:space="preserve">RESTRICTED: EDUCATOR ACCESS ONLY — NOT FOR DISTRIBUTION TO STUDENTS</w:t>
            </w:r>
          </w:p>
        </w:tc>
      </w:tr>
    </w:tbl>
    <w:p>
      <w:pPr>
        <w:pBdr>
          <w:bottom w:val="single" w:color="B8860B" w:sz="12" w:space="0"/>
        </w:pBdr>
        <w:spacing w:after="0" w:before="0"/>
      </w:pPr>
    </w:p>
    <w:p>
      <w:pPr>
        <w:spacing w:after="0" w:before="160"/>
      </w:pPr>
    </w:p>
    <w:p>
      <w:pPr>
        <w:spacing w:after="120" w:before="0"/>
      </w:pPr>
      <w:r>
        <w:rPr>
          <w:rFonts w:ascii="Arial" w:cs="Arial" w:eastAsia="Arial" w:hAnsi="Arial"/>
          <w:b/>
          <w:bCs/>
          <w:color w:val="0D0D1A"/>
          <w:sz w:val="26"/>
          <w:szCs w:val="26"/>
        </w:rPr>
        <w:t xml:space="preserve">She Saw It Coming Eighteen Months Before The Collapse. Nobody Listened.</w:t>
      </w:r>
    </w:p>
    <w:p>
      <w:pPr>
        <w:spacing w:after="60" w:before="200"/>
      </w:pPr>
      <w:r>
        <w:rPr>
          <w:rFonts w:ascii="Arial" w:cs="Arial" w:eastAsia="Arial" w:hAnsi="Arial"/>
          <w:b/>
          <w:bCs/>
          <w:color w:val="B8860B"/>
          <w:spacing w:val="80"/>
          <w:sz w:val="16"/>
          <w:szCs w:val="16"/>
        </w:rPr>
        <w:t xml:space="preserve">QUICK REFERENCE</w:t>
      </w:r>
    </w:p>
    <w:p>
      <w:pPr>
        <w:spacing w:after="100" w:before="0"/>
      </w:pPr>
      <w:r>
        <w:rPr>
          <w:rFonts w:ascii="Arial" w:cs="Arial" w:eastAsia="Arial" w:hAnsi="Arial"/>
          <w:b/>
          <w:bCs/>
          <w:color w:val="0D0D1A"/>
          <w:sz w:val="28"/>
          <w:szCs w:val="28"/>
        </w:rPr>
        <w:t xml:space="preserve">At a Glance</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DDDDDD" w:sz="1"/>
              <w:left w:val="single" w:color="DDDDDD" w:sz="1"/>
              <w:bottom w:val="single" w:color="DDDDDD" w:sz="1"/>
              <w:right w:val="single" w:color="DDDDDD" w:sz="1"/>
            </w:tcBorders>
            <w:shd w:fill="0D0D1A" w:val="clear"/>
            <w:tcMar>
              <w:top w:type="dxa" w:w="100"/>
              <w:left w:type="dxa" w:w="160"/>
              <w:bottom w:type="dxa" w:w="100"/>
              <w:right w:type="dxa" w:w="160"/>
            </w:tcMar>
          </w:tcPr>
          <w:p>
            <w:r>
              <w:rPr>
                <w:rFonts w:ascii="Arial" w:cs="Arial" w:eastAsia="Arial" w:hAnsi="Arial"/>
                <w:b/>
                <w:bCs/>
                <w:color w:val="B8860B"/>
                <w:sz w:val="20"/>
                <w:szCs w:val="20"/>
              </w:rPr>
              <w:t xml:space="preserve">Themes</w:t>
            </w:r>
          </w:p>
        </w:tc>
        <w:tc>
          <w:tcPr>
            <w:tcW w:type="dxa" w:w="6960"/>
            <w:tcBorders>
              <w:top w:val="single" w:color="DDDDDD" w:sz="1"/>
              <w:left w:val="single" w:color="DDDDDD" w:sz="1"/>
              <w:bottom w:val="single" w:color="DDDDDD" w:sz="1"/>
              <w:right w:val="single" w:color="DDDDDD" w:sz="1"/>
            </w:tcBorders>
            <w:shd w:fill="F7F7F4" w:val="clear"/>
            <w:tcMar>
              <w:top w:type="dxa" w:w="100"/>
              <w:left w:type="dxa" w:w="160"/>
              <w:bottom w:type="dxa" w:w="100"/>
              <w:right w:type="dxa" w:w="160"/>
            </w:tcMar>
          </w:tcPr>
          <w:p>
            <w:r>
              <w:rPr>
                <w:rFonts w:ascii="Arial" w:cs="Arial" w:eastAsia="Arial" w:hAnsi="Arial"/>
                <w:color w:val="0D0D1A"/>
                <w:sz w:val="20"/>
                <w:szCs w:val="20"/>
              </w:rPr>
              <w:t xml:space="preserve">Risk Escalation Protocol  ·  Accountability Framework  ·  Integrated Risk Dashboard  ·  Risk Culture Assessment  ·  Decision Rights Matrix</w:t>
            </w:r>
          </w:p>
        </w:tc>
      </w:tr>
      <w:tr>
        <w:tc>
          <w:tcPr>
            <w:tcW w:type="dxa" w:w="2400"/>
            <w:tcBorders>
              <w:top w:val="single" w:color="DDDDDD" w:sz="1"/>
              <w:left w:val="single" w:color="DDDDDD" w:sz="1"/>
              <w:bottom w:val="single" w:color="DDDDDD" w:sz="1"/>
              <w:right w:val="single" w:color="DDDDDD" w:sz="1"/>
            </w:tcBorders>
            <w:shd w:fill="0D0D1A" w:val="clear"/>
            <w:tcMar>
              <w:top w:type="dxa" w:w="100"/>
              <w:left w:type="dxa" w:w="160"/>
              <w:bottom w:type="dxa" w:w="100"/>
              <w:right w:type="dxa" w:w="160"/>
            </w:tcMar>
          </w:tcPr>
          <w:p>
            <w:r>
              <w:rPr>
                <w:rFonts w:ascii="Arial" w:cs="Arial" w:eastAsia="Arial" w:hAnsi="Arial"/>
                <w:b/>
                <w:bCs/>
                <w:color w:val="B8860B"/>
                <w:sz w:val="20"/>
                <w:szCs w:val="20"/>
              </w:rPr>
              <w:t xml:space="preserve">Models Applied</w:t>
            </w:r>
          </w:p>
        </w:tc>
        <w:tc>
          <w:tcPr>
            <w:tcW w:type="dxa" w:w="696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r>
              <w:rPr>
                <w:rFonts w:ascii="Arial" w:cs="Arial" w:eastAsia="Arial" w:hAnsi="Arial"/>
                <w:color w:val="0D0D1A"/>
                <w:sz w:val="20"/>
                <w:szCs w:val="20"/>
              </w:rPr>
              <w:t xml:space="preserve">Risk Escalation Protocol  ·  Accountability Framework  ·  Integrated Risk Dashboard  ·  Risk Culture Assessment  ·  Decision Rights Matrix</w:t>
            </w:r>
          </w:p>
        </w:tc>
      </w:tr>
      <w:tr>
        <w:tc>
          <w:tcPr>
            <w:tcW w:type="dxa" w:w="2400"/>
            <w:tcBorders>
              <w:top w:val="single" w:color="DDDDDD" w:sz="1"/>
              <w:left w:val="single" w:color="DDDDDD" w:sz="1"/>
              <w:bottom w:val="single" w:color="DDDDDD" w:sz="1"/>
              <w:right w:val="single" w:color="DDDDDD" w:sz="1"/>
            </w:tcBorders>
            <w:shd w:fill="0D0D1A" w:val="clear"/>
            <w:tcMar>
              <w:top w:type="dxa" w:w="100"/>
              <w:left w:type="dxa" w:w="160"/>
              <w:bottom w:type="dxa" w:w="100"/>
              <w:right w:type="dxa" w:w="160"/>
            </w:tcMar>
          </w:tcPr>
          <w:p>
            <w:r>
              <w:rPr>
                <w:rFonts w:ascii="Arial" w:cs="Arial" w:eastAsia="Arial" w:hAnsi="Arial"/>
                <w:b/>
                <w:bCs/>
                <w:color w:val="B8860B"/>
                <w:sz w:val="20"/>
                <w:szCs w:val="20"/>
              </w:rPr>
              <w:t xml:space="preserve">Suggested Discussion</w:t>
            </w:r>
          </w:p>
        </w:tc>
        <w:tc>
          <w:tcPr>
            <w:tcW w:type="dxa" w:w="6960"/>
            <w:tcBorders>
              <w:top w:val="single" w:color="DDDDDD" w:sz="1"/>
              <w:left w:val="single" w:color="DDDDDD" w:sz="1"/>
              <w:bottom w:val="single" w:color="DDDDDD" w:sz="1"/>
              <w:right w:val="single" w:color="DDDDDD" w:sz="1"/>
            </w:tcBorders>
            <w:shd w:fill="F7F7F4" w:val="clear"/>
            <w:tcMar>
              <w:top w:type="dxa" w:w="100"/>
              <w:left w:type="dxa" w:w="160"/>
              <w:bottom w:type="dxa" w:w="100"/>
              <w:right w:type="dxa" w:w="160"/>
            </w:tcMar>
          </w:tcPr>
          <w:p>
            <w:r>
              <w:rPr>
                <w:rFonts w:ascii="Arial" w:cs="Arial" w:eastAsia="Arial" w:hAnsi="Arial"/>
                <w:color w:val="0D0D1A"/>
                <w:sz w:val="20"/>
                <w:szCs w:val="20"/>
              </w:rPr>
              <w:t xml:space="preserve">45–60 minutes</w:t>
            </w:r>
          </w:p>
        </w:tc>
      </w:tr>
      <w:tr>
        <w:tc>
          <w:tcPr>
            <w:tcW w:type="dxa" w:w="2400"/>
            <w:tcBorders>
              <w:top w:val="single" w:color="DDDDDD" w:sz="1"/>
              <w:left w:val="single" w:color="DDDDDD" w:sz="1"/>
              <w:bottom w:val="single" w:color="DDDDDD" w:sz="1"/>
              <w:right w:val="single" w:color="DDDDDD" w:sz="1"/>
            </w:tcBorders>
            <w:shd w:fill="0D0D1A" w:val="clear"/>
            <w:tcMar>
              <w:top w:type="dxa" w:w="100"/>
              <w:left w:type="dxa" w:w="160"/>
              <w:bottom w:type="dxa" w:w="100"/>
              <w:right w:type="dxa" w:w="160"/>
            </w:tcMar>
          </w:tcPr>
          <w:p>
            <w:r>
              <w:rPr>
                <w:rFonts w:ascii="Arial" w:cs="Arial" w:eastAsia="Arial" w:hAnsi="Arial"/>
                <w:b/>
                <w:bCs/>
                <w:color w:val="B8860B"/>
                <w:sz w:val="20"/>
                <w:szCs w:val="20"/>
              </w:rPr>
              <w:t xml:space="preserve">Suitable For</w:t>
            </w:r>
          </w:p>
        </w:tc>
        <w:tc>
          <w:tcPr>
            <w:tcW w:type="dxa" w:w="6960"/>
            <w:tcBorders>
              <w:top w:val="single" w:color="DDDDDD" w:sz="1"/>
              <w:left w:val="single" w:color="DDDDDD" w:sz="1"/>
              <w:bottom w:val="single" w:color="DDDDDD" w:sz="1"/>
              <w:right w:val="single" w:color="DDDDDD" w:sz="1"/>
            </w:tcBorders>
            <w:shd w:fill="FFFFFF" w:val="clear"/>
            <w:tcMar>
              <w:top w:type="dxa" w:w="100"/>
              <w:left w:type="dxa" w:w="160"/>
              <w:bottom w:type="dxa" w:w="100"/>
              <w:right w:type="dxa" w:w="160"/>
            </w:tcMar>
          </w:tcPr>
          <w:p>
            <w:r>
              <w:rPr>
                <w:rFonts w:ascii="Arial" w:cs="Arial" w:eastAsia="Arial" w:hAnsi="Arial"/>
                <w:color w:val="0D0D1A"/>
                <w:sz w:val="20"/>
                <w:szCs w:val="20"/>
              </w:rPr>
              <w:t xml:space="preserve">MBA (Finance, Governance)  ·  Executive Education  ·  Board Training  ·  Audit &amp; Risk CPD  ·  Legal Professional Development</w:t>
            </w:r>
          </w:p>
        </w:tc>
      </w:tr>
      <w:tr>
        <w:tc>
          <w:tcPr>
            <w:tcW w:type="dxa" w:w="2400"/>
            <w:tcBorders>
              <w:top w:val="single" w:color="DDDDDD" w:sz="1"/>
              <w:left w:val="single" w:color="DDDDDD" w:sz="1"/>
              <w:bottom w:val="single" w:color="DDDDDD" w:sz="1"/>
              <w:right w:val="single" w:color="DDDDDD" w:sz="1"/>
            </w:tcBorders>
            <w:shd w:fill="0D0D1A" w:val="clear"/>
            <w:tcMar>
              <w:top w:type="dxa" w:w="100"/>
              <w:left w:type="dxa" w:w="160"/>
              <w:bottom w:type="dxa" w:w="100"/>
              <w:right w:type="dxa" w:w="160"/>
            </w:tcMar>
          </w:tcPr>
          <w:p>
            <w:r>
              <w:rPr>
                <w:rFonts w:ascii="Arial" w:cs="Arial" w:eastAsia="Arial" w:hAnsi="Arial"/>
                <w:b/>
                <w:bCs/>
                <w:color w:val="B8860B"/>
                <w:sz w:val="20"/>
                <w:szCs w:val="20"/>
              </w:rPr>
              <w:t xml:space="preserve">Episode</w:t>
            </w:r>
          </w:p>
        </w:tc>
        <w:tc>
          <w:tcPr>
            <w:tcW w:type="dxa" w:w="6960"/>
            <w:tcBorders>
              <w:top w:val="single" w:color="DDDDDD" w:sz="1"/>
              <w:left w:val="single" w:color="DDDDDD" w:sz="1"/>
              <w:bottom w:val="single" w:color="DDDDDD" w:sz="1"/>
              <w:right w:val="single" w:color="DDDDDD" w:sz="1"/>
            </w:tcBorders>
            <w:shd w:fill="F7F7F4" w:val="clear"/>
            <w:tcMar>
              <w:top w:type="dxa" w:w="100"/>
              <w:left w:type="dxa" w:w="160"/>
              <w:bottom w:type="dxa" w:w="100"/>
              <w:right w:type="dxa" w:w="160"/>
            </w:tcMar>
          </w:tcPr>
          <w:p>
            <w:r>
              <w:rPr>
                <w:rFonts w:ascii="Arial" w:cs="Arial" w:eastAsia="Arial" w:hAnsi="Arial"/>
                <w:color w:val="0D0D1A"/>
                <w:sz w:val="20"/>
                <w:szCs w:val="20"/>
              </w:rPr>
              <w:t xml:space="preserve">https://youtu.be/MVFXvHZrcys</w:t>
            </w:r>
          </w:p>
        </w:tc>
      </w:tr>
    </w:tbl>
    <w:p>
      <w:pPr>
        <w:spacing w:after="0" w:before="80"/>
      </w:pPr>
    </w:p>
    <w:p>
      <w:pPr>
        <w:spacing w:after="60" w:before="200"/>
      </w:pPr>
      <w:r>
        <w:rPr>
          <w:rFonts w:ascii="Arial" w:cs="Arial" w:eastAsia="Arial" w:hAnsi="Arial"/>
          <w:b/>
          <w:bCs/>
          <w:color w:val="B8860B"/>
          <w:spacing w:val="80"/>
          <w:sz w:val="16"/>
          <w:szCs w:val="16"/>
        </w:rPr>
        <w:t xml:space="preserve">OUTCOMES</w:t>
      </w:r>
    </w:p>
    <w:p>
      <w:pPr>
        <w:spacing w:after="100" w:before="0"/>
      </w:pPr>
      <w:r>
        <w:rPr>
          <w:rFonts w:ascii="Arial" w:cs="Arial" w:eastAsia="Arial" w:hAnsi="Arial"/>
          <w:b/>
          <w:bCs/>
          <w:color w:val="0D0D1A"/>
          <w:sz w:val="28"/>
          <w:szCs w:val="28"/>
        </w:rPr>
        <w:t xml:space="preserve">Learning Objectives</w:t>
      </w:r>
    </w:p>
    <w:p>
      <w:pPr>
        <w:spacing w:after="60" w:before="60"/>
      </w:pPr>
      <w:r>
        <w:rPr>
          <w:rFonts w:ascii="Arial" w:cs="Arial" w:eastAsia="Arial" w:hAnsi="Arial"/>
          <w:color w:val="0D0D1A"/>
          <w:sz w:val="22"/>
          <w:szCs w:val="22"/>
        </w:rPr>
        <w:t xml:space="preserve">By the end of this session, participants should be able to:</w:t>
      </w:r>
    </w:p>
    <w:p>
      <w:pPr>
        <w:spacing w:after="0" w:before="40"/>
      </w:pPr>
    </w:p>
    <w:p>
      <w:pPr>
        <w:pStyle w:val="ListParagraph"/>
        <w:numPr>
          <w:ilvl w:val="0"/>
          <w:numId w:val="2"/>
        </w:numPr>
        <w:spacing w:after="50" w:before="50"/>
      </w:pPr>
      <w:r>
        <w:rPr>
          <w:rFonts w:ascii="Arial" w:cs="Arial" w:eastAsia="Arial" w:hAnsi="Arial"/>
          <w:color w:val="0D0D1A"/>
          <w:sz w:val="21"/>
          <w:szCs w:val="21"/>
        </w:rPr>
        <w:t xml:space="preserve">What specific factors contributed to the management's decision to ignore the risk officer’s escalations?</w:t>
      </w:r>
    </w:p>
    <w:p>
      <w:pPr>
        <w:pStyle w:val="ListParagraph"/>
        <w:numPr>
          <w:ilvl w:val="0"/>
          <w:numId w:val="2"/>
        </w:numPr>
        <w:spacing w:after="50" w:before="50"/>
      </w:pPr>
      <w:r>
        <w:rPr>
          <w:rFonts w:ascii="Arial" w:cs="Arial" w:eastAsia="Arial" w:hAnsi="Arial"/>
          <w:color w:val="0D0D1A"/>
          <w:sz w:val="21"/>
          <w:szCs w:val="21"/>
        </w:rPr>
        <w:t xml:space="preserve">How can an organization implement effective risk governance that empowers risk officers?</w:t>
      </w:r>
    </w:p>
    <w:p>
      <w:pPr>
        <w:pStyle w:val="ListParagraph"/>
        <w:numPr>
          <w:ilvl w:val="0"/>
          <w:numId w:val="2"/>
        </w:numPr>
        <w:spacing w:after="50" w:before="50"/>
      </w:pPr>
      <w:r>
        <w:rPr>
          <w:rFonts w:ascii="Arial" w:cs="Arial" w:eastAsia="Arial" w:hAnsi="Arial"/>
          <w:color w:val="0D0D1A"/>
          <w:sz w:val="21"/>
          <w:szCs w:val="21"/>
        </w:rPr>
        <w:t xml:space="preserve">What role does corporate culture play in responding to risk warnings?</w:t>
      </w:r>
    </w:p>
    <w:p>
      <w:pPr>
        <w:pStyle w:val="ListParagraph"/>
        <w:numPr>
          <w:ilvl w:val="0"/>
          <w:numId w:val="2"/>
        </w:numPr>
        <w:spacing w:after="50" w:before="50"/>
      </w:pPr>
      <w:r>
        <w:rPr>
          <w:rFonts w:ascii="Arial" w:cs="Arial" w:eastAsia="Arial" w:hAnsi="Arial"/>
          <w:color w:val="0D0D1A"/>
          <w:sz w:val="21"/>
          <w:szCs w:val="21"/>
        </w:rPr>
        <w:t xml:space="preserve">How might the organization have benefited from a formal escalation protocol?</w:t>
      </w:r>
    </w:p>
    <w:p>
      <w:pPr>
        <w:pStyle w:val="ListParagraph"/>
        <w:numPr>
          <w:ilvl w:val="0"/>
          <w:numId w:val="2"/>
        </w:numPr>
        <w:spacing w:after="50" w:before="50"/>
      </w:pPr>
      <w:r>
        <w:rPr>
          <w:rFonts w:ascii="Arial" w:cs="Arial" w:eastAsia="Arial" w:hAnsi="Arial"/>
          <w:color w:val="0D0D1A"/>
          <w:sz w:val="21"/>
          <w:szCs w:val="21"/>
        </w:rPr>
        <w:t xml:space="preserve">What structural changes would you recommend to prevent future incidents of ignored warnings?</w:t>
      </w:r>
    </w:p>
    <w:p>
      <w:pPr>
        <w:spacing w:after="0" w:before="80"/>
      </w:pPr>
    </w:p>
    <w:p>
      <w:pPr>
        <w:spacing w:after="60" w:before="200"/>
      </w:pPr>
      <w:r>
        <w:rPr>
          <w:rFonts w:ascii="Arial" w:cs="Arial" w:eastAsia="Arial" w:hAnsi="Arial"/>
          <w:b/>
          <w:bCs/>
          <w:color w:val="B8860B"/>
          <w:spacing w:val="80"/>
          <w:sz w:val="16"/>
          <w:szCs w:val="16"/>
        </w:rPr>
        <w:t xml:space="preserve">FACILITATION</w:t>
      </w:r>
    </w:p>
    <w:p>
      <w:pPr>
        <w:spacing w:after="100" w:before="0"/>
      </w:pPr>
      <w:r>
        <w:rPr>
          <w:rFonts w:ascii="Arial" w:cs="Arial" w:eastAsia="Arial" w:hAnsi="Arial"/>
          <w:b/>
          <w:bCs/>
          <w:color w:val="0D0D1A"/>
          <w:sz w:val="28"/>
          <w:szCs w:val="28"/>
        </w:rPr>
        <w:t xml:space="preserve">How to Use This Case</w:t>
      </w:r>
    </w:p>
    <w:p>
      <w:pPr>
        <w:spacing w:after="0" w:before="60"/>
      </w:pPr>
    </w:p>
    <w:p>
      <w:pPr>
        <w:spacing w:after="60" w:before="0"/>
      </w:pPr>
      <w:r>
        <w:rPr>
          <w:rFonts w:ascii="Arial" w:cs="Arial" w:eastAsia="Arial" w:hAnsi="Arial"/>
          <w:b/>
          <w:bCs/>
          <w:color w:val="0D0D1A"/>
          <w:sz w:val="22"/>
          <w:szCs w:val="22"/>
        </w:rPr>
        <w:t xml:space="preserve">Pre-Session</w:t>
      </w:r>
    </w:p>
    <w:p>
      <w:pPr>
        <w:spacing w:after="60" w:before="60"/>
      </w:pPr>
      <w:r>
        <w:rPr>
          <w:rFonts w:ascii="Arial" w:cs="Arial" w:eastAsia="Arial" w:hAnsi="Arial"/>
          <w:color w:val="0D0D1A"/>
          <w:sz w:val="22"/>
          <w:szCs w:val="22"/>
        </w:rPr>
        <w:t xml:space="preserve">Assign the Case Study (CF-001) as pre-reading. Ask participants to note: (a) the point at which they would have escalated differently, and (b) one structural change they would make to the firm's governance. Do not share the outcome before the session.</w:t>
      </w:r>
    </w:p>
    <w:p>
      <w:pPr>
        <w:spacing w:after="0" w:before="40"/>
      </w:pPr>
    </w:p>
    <w:p>
      <w:pPr>
        <w:spacing w:after="60" w:before="0"/>
      </w:pPr>
      <w:r>
        <w:rPr>
          <w:rFonts w:ascii="Arial" w:cs="Arial" w:eastAsia="Arial" w:hAnsi="Arial"/>
          <w:b/>
          <w:bCs/>
          <w:color w:val="0D0D1A"/>
          <w:sz w:val="22"/>
          <w:szCs w:val="22"/>
        </w:rPr>
        <w:t xml:space="preserve">Opening (5–10 minutes)</w:t>
      </w:r>
    </w:p>
    <w:p>
      <w:pPr>
        <w:spacing w:after="60" w:before="60"/>
      </w:pPr>
      <w:r>
        <w:rPr>
          <w:rFonts w:ascii="Arial" w:cs="Arial" w:eastAsia="Arial" w:hAnsi="Arial"/>
          <w:color w:val="0D0D1A"/>
          <w:sz w:val="22"/>
          <w:szCs w:val="22"/>
        </w:rPr>
        <w:t xml:space="preserve">Open with the hook — read it aloud or play the episode's first 60 seconds. Do not summarise. Let the narrative land. Then ask: 'What do you already know?' Capture responses without comment. This surfaces assumptions before analysis begins.</w:t>
      </w:r>
    </w:p>
    <w:p>
      <w:pPr>
        <w:spacing w:after="0" w:before="40"/>
      </w:pPr>
    </w:p>
    <w:p>
      <w:pPr>
        <w:spacing w:after="60" w:before="0"/>
      </w:pPr>
      <w:r>
        <w:rPr>
          <w:rFonts w:ascii="Arial" w:cs="Arial" w:eastAsia="Arial" w:hAnsi="Arial"/>
          <w:b/>
          <w:bCs/>
          <w:color w:val="0D0D1A"/>
          <w:sz w:val="22"/>
          <w:szCs w:val="22"/>
        </w:rPr>
        <w:t xml:space="preserve">The Decision Point (10–15 minutes)</w:t>
      </w:r>
    </w:p>
    <w:p>
      <w:pPr>
        <w:spacing w:after="60" w:before="60"/>
      </w:pPr>
      <w:r>
        <w:rPr>
          <w:rFonts w:ascii="Arial" w:cs="Arial" w:eastAsia="Arial" w:hAnsi="Arial"/>
          <w:color w:val="0D0D1A"/>
          <w:sz w:val="22"/>
          <w:szCs w:val="22"/>
        </w:rPr>
        <w:t xml:space="preserve">Present the Decision Point before revealing the outcome. Give participants 5 minutes to write their decision individually. Then open to group discussion. The goal is not consensus — it is to surface the range of reasoning and expose the assumptions behind each position.</w:t>
      </w:r>
    </w:p>
    <w:p>
      <w:pPr>
        <w:spacing w:after="0" w:before="40"/>
      </w:pPr>
    </w:p>
    <w:p>
      <w:pPr>
        <w:spacing w:after="60" w:before="0"/>
      </w:pPr>
      <w:r>
        <w:rPr>
          <w:rFonts w:ascii="Arial" w:cs="Arial" w:eastAsia="Arial" w:hAnsi="Arial"/>
          <w:b/>
          <w:bCs/>
          <w:color w:val="0D0D1A"/>
          <w:sz w:val="22"/>
          <w:szCs w:val="22"/>
        </w:rPr>
        <w:t xml:space="preserve">Case Analysis (20–25 minutes)</w:t>
      </w:r>
    </w:p>
    <w:p>
      <w:pPr>
        <w:spacing w:after="60" w:before="60"/>
      </w:pPr>
      <w:r>
        <w:rPr>
          <w:rFonts w:ascii="Arial" w:cs="Arial" w:eastAsia="Arial" w:hAnsi="Arial"/>
          <w:color w:val="0D0D1A"/>
          <w:sz w:val="22"/>
          <w:szCs w:val="22"/>
        </w:rPr>
        <w:t xml:space="preserve">Work through Red Flags in sequence. For each one, ask: at what point did this become a governance failure rather than a risk management failure? The distinction matters — risk management is operational; governance is structural.</w:t>
      </w:r>
    </w:p>
    <w:p>
      <w:pPr>
        <w:spacing w:after="0" w:before="40"/>
      </w:pPr>
    </w:p>
    <w:p>
      <w:pPr>
        <w:spacing w:after="60" w:before="0"/>
      </w:pPr>
      <w:r>
        <w:rPr>
          <w:rFonts w:ascii="Arial" w:cs="Arial" w:eastAsia="Arial" w:hAnsi="Arial"/>
          <w:b/>
          <w:bCs/>
          <w:color w:val="0D0D1A"/>
          <w:sz w:val="22"/>
          <w:szCs w:val="22"/>
        </w:rPr>
        <w:t xml:space="preserve">Close (5–10 minutes)</w:t>
      </w:r>
    </w:p>
    <w:p>
      <w:pPr>
        <w:spacing w:after="60" w:before="60"/>
      </w:pPr>
      <w:r>
        <w:rPr>
          <w:rFonts w:ascii="Arial" w:cs="Arial" w:eastAsia="Arial" w:hAnsi="Arial"/>
          <w:color w:val="0D0D1A"/>
          <w:sz w:val="22"/>
          <w:szCs w:val="22"/>
        </w:rPr>
        <w:t xml:space="preserve">Close with Boardroom Takeaways. Ask participants to vote on which single takeaway would have had the most impact. Then reveal the actual outcome if not already known.</w:t>
      </w:r>
    </w:p>
    <w:p>
      <w:pPr>
        <w:spacing w:after="0" w:before="80"/>
      </w:pPr>
    </w:p>
    <w:p>
      <w:pPr>
        <w:spacing w:after="60" w:before="200"/>
      </w:pPr>
      <w:r>
        <w:rPr>
          <w:rFonts w:ascii="Arial" w:cs="Arial" w:eastAsia="Arial" w:hAnsi="Arial"/>
          <w:b/>
          <w:bCs/>
          <w:color w:val="B8860B"/>
          <w:spacing w:val="80"/>
          <w:sz w:val="16"/>
          <w:szCs w:val="16"/>
        </w:rPr>
        <w:t xml:space="preserve">QUESTION BY QUESTION</w:t>
      </w:r>
    </w:p>
    <w:p>
      <w:pPr>
        <w:spacing w:after="100" w:before="0"/>
      </w:pPr>
      <w:r>
        <w:rPr>
          <w:rFonts w:ascii="Arial" w:cs="Arial" w:eastAsia="Arial" w:hAnsi="Arial"/>
          <w:b/>
          <w:bCs/>
          <w:color w:val="0D0D1A"/>
          <w:sz w:val="28"/>
          <w:szCs w:val="28"/>
        </w:rPr>
        <w:t xml:space="preserve">Discussion Guide</w:t>
      </w:r>
    </w:p>
    <w:p>
      <w:pPr>
        <w:spacing w:after="60" w:before="60"/>
      </w:pPr>
      <w:r>
        <w:rPr>
          <w:rFonts w:ascii="Arial" w:cs="Arial" w:eastAsia="Arial" w:hAnsi="Arial"/>
          <w:color w:val="0D0D1A"/>
          <w:sz w:val="22"/>
          <w:szCs w:val="22"/>
        </w:rPr>
        <w:t xml:space="preserve">For each discussion question: the characteristics of a strong response, and the most common errors to redirect.</w:t>
      </w:r>
    </w:p>
    <w:p>
      <w:pPr>
        <w:spacing w:after="0" w:before="60"/>
      </w:pPr>
    </w:p>
    <w:p>
      <w:pPr>
        <w:spacing w:after="80" w:before="160"/>
      </w:pPr>
      <w:r>
        <w:rPr>
          <w:rFonts w:ascii="Arial" w:cs="Arial" w:eastAsia="Arial" w:hAnsi="Arial"/>
          <w:b/>
          <w:bCs/>
          <w:color w:val="B8860B"/>
          <w:sz w:val="20"/>
          <w:szCs w:val="20"/>
        </w:rPr>
        <w:t xml:space="preserve">Q1  </w:t>
      </w:r>
      <w:r>
        <w:rPr>
          <w:rFonts w:ascii="Arial" w:cs="Arial" w:eastAsia="Arial" w:hAnsi="Arial"/>
          <w:b/>
          <w:bCs/>
          <w:color w:val="0D0D1A"/>
          <w:sz w:val="22"/>
          <w:szCs w:val="22"/>
        </w:rPr>
        <w:t xml:space="preserve">What specific factors contributed to the management's decision to ignore the risk officer’s escalations?</w:t>
      </w:r>
    </w:p>
    <w:p>
      <w:pPr>
        <w:spacing w:after="40" w:before="40"/>
      </w:pPr>
      <w:r>
        <w:rPr>
          <w:rFonts w:ascii="Arial" w:cs="Arial" w:eastAsia="Arial" w:hAnsi="Arial"/>
          <w:b/>
          <w:bCs/>
          <w:color w:val="B8860B"/>
          <w:spacing w:val="60"/>
          <w:sz w:val="15"/>
          <w:szCs w:val="15"/>
        </w:rPr>
        <w:t xml:space="preserve">WHAT GOOD LOOKS LIKE</w:t>
      </w:r>
    </w:p>
    <w:p>
      <w:pPr>
        <w:spacing w:after="60" w:before="60"/>
      </w:pPr>
      <w:r>
        <w:rPr>
          <w:rFonts w:ascii="Arial" w:cs="Arial" w:eastAsia="Arial" w:hAnsi="Arial"/>
          <w:color w:val="0D0D1A"/>
          <w:sz w:val="22"/>
          <w:szCs w:val="22"/>
        </w:rPr>
        <w:t xml:space="preserve">Strong responses will be specific, cite evidence from the case, and commit to a position. Vague responses that hedge without reasons should be pushed back on.</w:t>
      </w:r>
    </w:p>
    <w:p>
      <w:pPr>
        <w:spacing w:after="40" w:before="40"/>
      </w:pPr>
      <w:r>
        <w:rPr>
          <w:rFonts w:ascii="Arial" w:cs="Arial" w:eastAsia="Arial" w:hAnsi="Arial"/>
          <w:b/>
          <w:bCs/>
          <w:color w:val="8B1A1A"/>
          <w:spacing w:val="60"/>
          <w:sz w:val="15"/>
          <w:szCs w:val="15"/>
        </w:rPr>
        <w:t xml:space="preserve">COMMON ERROR</w:t>
      </w:r>
    </w:p>
    <w:p>
      <w:pPr>
        <w:spacing w:after="80" w:before="0"/>
      </w:pPr>
      <w:r>
        <w:rPr>
          <w:rFonts w:ascii="Arial" w:cs="Arial" w:eastAsia="Arial" w:hAnsi="Arial"/>
          <w:i/>
          <w:iCs/>
          <w:color w:val="4A4A6A"/>
          <w:sz w:val="21"/>
          <w:szCs w:val="21"/>
        </w:rPr>
        <w:t xml:space="preserve">Watch for answers that identify the problem without proposing a structural solution. Ask: what specifically would you change in the governance design?</w:t>
      </w:r>
    </w:p>
    <w:p>
      <w:pPr>
        <w:pBdr>
          <w:bottom w:val="single" w:color="EEEEEE" w:sz="1"/>
        </w:pBdr>
        <w:spacing w:after="0" w:before="80"/>
      </w:pPr>
    </w:p>
    <w:p>
      <w:pPr>
        <w:spacing w:after="80" w:before="160"/>
      </w:pPr>
      <w:r>
        <w:rPr>
          <w:rFonts w:ascii="Arial" w:cs="Arial" w:eastAsia="Arial" w:hAnsi="Arial"/>
          <w:b/>
          <w:bCs/>
          <w:color w:val="B8860B"/>
          <w:sz w:val="20"/>
          <w:szCs w:val="20"/>
        </w:rPr>
        <w:t xml:space="preserve">Q2  </w:t>
      </w:r>
      <w:r>
        <w:rPr>
          <w:rFonts w:ascii="Arial" w:cs="Arial" w:eastAsia="Arial" w:hAnsi="Arial"/>
          <w:b/>
          <w:bCs/>
          <w:color w:val="0D0D1A"/>
          <w:sz w:val="22"/>
          <w:szCs w:val="22"/>
        </w:rPr>
        <w:t xml:space="preserve">How can an organization implement effective risk governance that empowers risk officers?</w:t>
      </w:r>
    </w:p>
    <w:p>
      <w:pPr>
        <w:spacing w:after="40" w:before="40"/>
      </w:pPr>
      <w:r>
        <w:rPr>
          <w:rFonts w:ascii="Arial" w:cs="Arial" w:eastAsia="Arial" w:hAnsi="Arial"/>
          <w:b/>
          <w:bCs/>
          <w:color w:val="B8860B"/>
          <w:spacing w:val="60"/>
          <w:sz w:val="15"/>
          <w:szCs w:val="15"/>
        </w:rPr>
        <w:t xml:space="preserve">WHAT GOOD LOOKS LIKE</w:t>
      </w:r>
    </w:p>
    <w:p>
      <w:pPr>
        <w:spacing w:after="60" w:before="60"/>
      </w:pPr>
      <w:r>
        <w:rPr>
          <w:rFonts w:ascii="Arial" w:cs="Arial" w:eastAsia="Arial" w:hAnsi="Arial"/>
          <w:color w:val="0D0D1A"/>
          <w:sz w:val="22"/>
          <w:szCs w:val="22"/>
        </w:rPr>
        <w:t xml:space="preserve">Strong responses will be specific, cite evidence from the case, and commit to a position. Vague responses that hedge without reasons should be pushed back on.</w:t>
      </w:r>
    </w:p>
    <w:p>
      <w:pPr>
        <w:spacing w:after="40" w:before="40"/>
      </w:pPr>
      <w:r>
        <w:rPr>
          <w:rFonts w:ascii="Arial" w:cs="Arial" w:eastAsia="Arial" w:hAnsi="Arial"/>
          <w:b/>
          <w:bCs/>
          <w:color w:val="8B1A1A"/>
          <w:spacing w:val="60"/>
          <w:sz w:val="15"/>
          <w:szCs w:val="15"/>
        </w:rPr>
        <w:t xml:space="preserve">COMMON ERROR</w:t>
      </w:r>
    </w:p>
    <w:p>
      <w:pPr>
        <w:spacing w:after="80" w:before="0"/>
      </w:pPr>
      <w:r>
        <w:rPr>
          <w:rFonts w:ascii="Arial" w:cs="Arial" w:eastAsia="Arial" w:hAnsi="Arial"/>
          <w:i/>
          <w:iCs/>
          <w:color w:val="4A4A6A"/>
          <w:sz w:val="21"/>
          <w:szCs w:val="21"/>
        </w:rPr>
        <w:t xml:space="preserve">Watch for answers that identify the problem without proposing a structural solution. Ask: what specifically would you change in the governance design?</w:t>
      </w:r>
    </w:p>
    <w:p>
      <w:pPr>
        <w:pBdr>
          <w:bottom w:val="single" w:color="EEEEEE" w:sz="1"/>
        </w:pBdr>
        <w:spacing w:after="0" w:before="80"/>
      </w:pPr>
    </w:p>
    <w:p>
      <w:pPr>
        <w:spacing w:after="80" w:before="160"/>
      </w:pPr>
      <w:r>
        <w:rPr>
          <w:rFonts w:ascii="Arial" w:cs="Arial" w:eastAsia="Arial" w:hAnsi="Arial"/>
          <w:b/>
          <w:bCs/>
          <w:color w:val="B8860B"/>
          <w:sz w:val="20"/>
          <w:szCs w:val="20"/>
        </w:rPr>
        <w:t xml:space="preserve">Q3  </w:t>
      </w:r>
      <w:r>
        <w:rPr>
          <w:rFonts w:ascii="Arial" w:cs="Arial" w:eastAsia="Arial" w:hAnsi="Arial"/>
          <w:b/>
          <w:bCs/>
          <w:color w:val="0D0D1A"/>
          <w:sz w:val="22"/>
          <w:szCs w:val="22"/>
        </w:rPr>
        <w:t xml:space="preserve">What role does corporate culture play in responding to risk warnings?</w:t>
      </w:r>
    </w:p>
    <w:p>
      <w:pPr>
        <w:spacing w:after="40" w:before="40"/>
      </w:pPr>
      <w:r>
        <w:rPr>
          <w:rFonts w:ascii="Arial" w:cs="Arial" w:eastAsia="Arial" w:hAnsi="Arial"/>
          <w:b/>
          <w:bCs/>
          <w:color w:val="B8860B"/>
          <w:spacing w:val="60"/>
          <w:sz w:val="15"/>
          <w:szCs w:val="15"/>
        </w:rPr>
        <w:t xml:space="preserve">WHAT GOOD LOOKS LIKE</w:t>
      </w:r>
    </w:p>
    <w:p>
      <w:pPr>
        <w:spacing w:after="60" w:before="60"/>
      </w:pPr>
      <w:r>
        <w:rPr>
          <w:rFonts w:ascii="Arial" w:cs="Arial" w:eastAsia="Arial" w:hAnsi="Arial"/>
          <w:color w:val="0D0D1A"/>
          <w:sz w:val="22"/>
          <w:szCs w:val="22"/>
        </w:rPr>
        <w:t xml:space="preserve">Strong responses will be specific, cite evidence from the case, and commit to a position. Vague responses that hedge without reasons should be pushed back on.</w:t>
      </w:r>
    </w:p>
    <w:p>
      <w:pPr>
        <w:spacing w:after="40" w:before="40"/>
      </w:pPr>
      <w:r>
        <w:rPr>
          <w:rFonts w:ascii="Arial" w:cs="Arial" w:eastAsia="Arial" w:hAnsi="Arial"/>
          <w:b/>
          <w:bCs/>
          <w:color w:val="8B1A1A"/>
          <w:spacing w:val="60"/>
          <w:sz w:val="15"/>
          <w:szCs w:val="15"/>
        </w:rPr>
        <w:t xml:space="preserve">COMMON ERROR</w:t>
      </w:r>
    </w:p>
    <w:p>
      <w:pPr>
        <w:spacing w:after="80" w:before="0"/>
      </w:pPr>
      <w:r>
        <w:rPr>
          <w:rFonts w:ascii="Arial" w:cs="Arial" w:eastAsia="Arial" w:hAnsi="Arial"/>
          <w:i/>
          <w:iCs/>
          <w:color w:val="4A4A6A"/>
          <w:sz w:val="21"/>
          <w:szCs w:val="21"/>
        </w:rPr>
        <w:t xml:space="preserve">Watch for answers that identify the problem without proposing a structural solution. Ask: what specifically would you change in the governance design?</w:t>
      </w:r>
    </w:p>
    <w:p>
      <w:pPr>
        <w:pBdr>
          <w:bottom w:val="single" w:color="EEEEEE" w:sz="1"/>
        </w:pBdr>
        <w:spacing w:after="0" w:before="80"/>
      </w:pPr>
    </w:p>
    <w:p>
      <w:pPr>
        <w:spacing w:after="80" w:before="160"/>
      </w:pPr>
      <w:r>
        <w:rPr>
          <w:rFonts w:ascii="Arial" w:cs="Arial" w:eastAsia="Arial" w:hAnsi="Arial"/>
          <w:b/>
          <w:bCs/>
          <w:color w:val="B8860B"/>
          <w:sz w:val="20"/>
          <w:szCs w:val="20"/>
        </w:rPr>
        <w:t xml:space="preserve">Q4  </w:t>
      </w:r>
      <w:r>
        <w:rPr>
          <w:rFonts w:ascii="Arial" w:cs="Arial" w:eastAsia="Arial" w:hAnsi="Arial"/>
          <w:b/>
          <w:bCs/>
          <w:color w:val="0D0D1A"/>
          <w:sz w:val="22"/>
          <w:szCs w:val="22"/>
        </w:rPr>
        <w:t xml:space="preserve">How might the organization have benefited from a formal escalation protocol?</w:t>
      </w:r>
    </w:p>
    <w:p>
      <w:pPr>
        <w:spacing w:after="40" w:before="40"/>
      </w:pPr>
      <w:r>
        <w:rPr>
          <w:rFonts w:ascii="Arial" w:cs="Arial" w:eastAsia="Arial" w:hAnsi="Arial"/>
          <w:b/>
          <w:bCs/>
          <w:color w:val="B8860B"/>
          <w:spacing w:val="60"/>
          <w:sz w:val="15"/>
          <w:szCs w:val="15"/>
        </w:rPr>
        <w:t xml:space="preserve">WHAT GOOD LOOKS LIKE</w:t>
      </w:r>
    </w:p>
    <w:p>
      <w:pPr>
        <w:spacing w:after="60" w:before="60"/>
      </w:pPr>
      <w:r>
        <w:rPr>
          <w:rFonts w:ascii="Arial" w:cs="Arial" w:eastAsia="Arial" w:hAnsi="Arial"/>
          <w:color w:val="0D0D1A"/>
          <w:sz w:val="22"/>
          <w:szCs w:val="22"/>
        </w:rPr>
        <w:t xml:space="preserve">Strong responses will be specific, cite evidence from the case, and commit to a position. Vague responses that hedge without reasons should be pushed back on.</w:t>
      </w:r>
    </w:p>
    <w:p>
      <w:pPr>
        <w:spacing w:after="40" w:before="40"/>
      </w:pPr>
      <w:r>
        <w:rPr>
          <w:rFonts w:ascii="Arial" w:cs="Arial" w:eastAsia="Arial" w:hAnsi="Arial"/>
          <w:b/>
          <w:bCs/>
          <w:color w:val="8B1A1A"/>
          <w:spacing w:val="60"/>
          <w:sz w:val="15"/>
          <w:szCs w:val="15"/>
        </w:rPr>
        <w:t xml:space="preserve">COMMON ERROR</w:t>
      </w:r>
    </w:p>
    <w:p>
      <w:pPr>
        <w:spacing w:after="80" w:before="0"/>
      </w:pPr>
      <w:r>
        <w:rPr>
          <w:rFonts w:ascii="Arial" w:cs="Arial" w:eastAsia="Arial" w:hAnsi="Arial"/>
          <w:i/>
          <w:iCs/>
          <w:color w:val="4A4A6A"/>
          <w:sz w:val="21"/>
          <w:szCs w:val="21"/>
        </w:rPr>
        <w:t xml:space="preserve">Watch for answers that identify the problem without proposing a structural solution. Ask: what specifically would you change in the governance design?</w:t>
      </w:r>
    </w:p>
    <w:p>
      <w:pPr>
        <w:pBdr>
          <w:bottom w:val="single" w:color="EEEEEE" w:sz="1"/>
        </w:pBdr>
        <w:spacing w:after="0" w:before="80"/>
      </w:pPr>
    </w:p>
    <w:p>
      <w:pPr>
        <w:spacing w:after="80" w:before="160"/>
      </w:pPr>
      <w:r>
        <w:rPr>
          <w:rFonts w:ascii="Arial" w:cs="Arial" w:eastAsia="Arial" w:hAnsi="Arial"/>
          <w:b/>
          <w:bCs/>
          <w:color w:val="B8860B"/>
          <w:sz w:val="20"/>
          <w:szCs w:val="20"/>
        </w:rPr>
        <w:t xml:space="preserve">Q5  </w:t>
      </w:r>
      <w:r>
        <w:rPr>
          <w:rFonts w:ascii="Arial" w:cs="Arial" w:eastAsia="Arial" w:hAnsi="Arial"/>
          <w:b/>
          <w:bCs/>
          <w:color w:val="0D0D1A"/>
          <w:sz w:val="22"/>
          <w:szCs w:val="22"/>
        </w:rPr>
        <w:t xml:space="preserve">What structural changes would you recommend to prevent future incidents of ignored warnings?</w:t>
      </w:r>
    </w:p>
    <w:p>
      <w:pPr>
        <w:spacing w:after="40" w:before="40"/>
      </w:pPr>
      <w:r>
        <w:rPr>
          <w:rFonts w:ascii="Arial" w:cs="Arial" w:eastAsia="Arial" w:hAnsi="Arial"/>
          <w:b/>
          <w:bCs/>
          <w:color w:val="B8860B"/>
          <w:spacing w:val="60"/>
          <w:sz w:val="15"/>
          <w:szCs w:val="15"/>
        </w:rPr>
        <w:t xml:space="preserve">WHAT GOOD LOOKS LIKE</w:t>
      </w:r>
    </w:p>
    <w:p>
      <w:pPr>
        <w:spacing w:after="60" w:before="60"/>
      </w:pPr>
      <w:r>
        <w:rPr>
          <w:rFonts w:ascii="Arial" w:cs="Arial" w:eastAsia="Arial" w:hAnsi="Arial"/>
          <w:color w:val="0D0D1A"/>
          <w:sz w:val="22"/>
          <w:szCs w:val="22"/>
        </w:rPr>
        <w:t xml:space="preserve">Strong responses will be specific, cite evidence from the case, and commit to a position. Vague responses that hedge without reasons should be pushed back on.</w:t>
      </w:r>
    </w:p>
    <w:p>
      <w:pPr>
        <w:spacing w:after="40" w:before="40"/>
      </w:pPr>
      <w:r>
        <w:rPr>
          <w:rFonts w:ascii="Arial" w:cs="Arial" w:eastAsia="Arial" w:hAnsi="Arial"/>
          <w:b/>
          <w:bCs/>
          <w:color w:val="8B1A1A"/>
          <w:spacing w:val="60"/>
          <w:sz w:val="15"/>
          <w:szCs w:val="15"/>
        </w:rPr>
        <w:t xml:space="preserve">COMMON ERROR</w:t>
      </w:r>
    </w:p>
    <w:p>
      <w:pPr>
        <w:spacing w:after="80" w:before="0"/>
      </w:pPr>
      <w:r>
        <w:rPr>
          <w:rFonts w:ascii="Arial" w:cs="Arial" w:eastAsia="Arial" w:hAnsi="Arial"/>
          <w:i/>
          <w:iCs/>
          <w:color w:val="4A4A6A"/>
          <w:sz w:val="21"/>
          <w:szCs w:val="21"/>
        </w:rPr>
        <w:t xml:space="preserve">Watch for answers that identify the problem without proposing a structural solution. Ask: what specifically would you change in the governance design?</w:t>
      </w:r>
    </w:p>
    <w:p>
      <w:pPr>
        <w:pBdr>
          <w:bottom w:val="single" w:color="EEEEEE" w:sz="1"/>
        </w:pBdr>
        <w:spacing w:after="0" w:before="80"/>
      </w:pPr>
    </w:p>
    <w:p>
      <w:pPr>
        <w:spacing w:after="0" w:before="80"/>
      </w:pPr>
    </w:p>
    <w:p>
      <w:pPr>
        <w:spacing w:after="60" w:before="200"/>
      </w:pPr>
      <w:r>
        <w:rPr>
          <w:rFonts w:ascii="Arial" w:cs="Arial" w:eastAsia="Arial" w:hAnsi="Arial"/>
          <w:b/>
          <w:bCs/>
          <w:color w:val="B8860B"/>
          <w:spacing w:val="80"/>
          <w:sz w:val="16"/>
          <w:szCs w:val="16"/>
        </w:rPr>
        <w:t xml:space="preserve">CLOSING THE SESSION</w:t>
      </w:r>
    </w:p>
    <w:p>
      <w:pPr>
        <w:spacing w:after="100" w:before="0"/>
      </w:pPr>
      <w:r>
        <w:rPr>
          <w:rFonts w:ascii="Arial" w:cs="Arial" w:eastAsia="Arial" w:hAnsi="Arial"/>
          <w:b/>
          <w:bCs/>
          <w:color w:val="0D0D1A"/>
          <w:sz w:val="28"/>
          <w:szCs w:val="28"/>
        </w:rPr>
        <w:t xml:space="preserve">Debrief Notes</w:t>
      </w:r>
    </w:p>
    <w:p>
      <w:pPr>
        <w:spacing w:after="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
        <w:gridCol w:w="9200"/>
      </w:tblGrid>
      <w:tr>
        <w:tc>
          <w:tcPr>
            <w:tcW w:type="dxa" w:w="160"/>
            <w:tcBorders>
              <w:top w:val="none" w:color="FFFFFF" w:sz="0"/>
              <w:left w:val="single" w:color="B8860B" w:sz="24"/>
              <w:bottom w:val="none" w:color="FFFFFF" w:sz="0"/>
              <w:right w:val="none" w:color="FFFFFF" w:sz="0"/>
            </w:tcBorders>
            <w:shd w:fill="FDF6E3" w:val="clear"/>
            <w:tcMar>
              <w:top w:type="dxa" w:w="0"/>
              <w:left w:type="dxa" w:w="0"/>
              <w:bottom w:type="dxa" w:w="0"/>
              <w:right w:type="dxa" w:w="0"/>
            </w:tcMar>
          </w:tcPr>
          <w:p/>
        </w:tc>
        <w:tc>
          <w:tcPr>
            <w:tcW w:type="dxa" w:w="9200"/>
            <w:tcBorders>
              <w:top w:val="single" w:color="DDDDDD" w:sz="1"/>
              <w:left w:val="none" w:color="FFFFFF" w:sz="0"/>
              <w:bottom w:val="single" w:color="DDDDDD" w:sz="1"/>
              <w:right w:val="single" w:color="DDDDDD" w:sz="1"/>
            </w:tcBorders>
            <w:shd w:fill="FDF6E3" w:val="clear"/>
            <w:tcMar>
              <w:top w:type="dxa" w:w="140"/>
              <w:left w:type="dxa" w:w="180"/>
              <w:bottom w:type="dxa" w:w="140"/>
              <w:right w:type="dxa" w:w="180"/>
            </w:tcMar>
          </w:tcPr>
          <w:p>
            <w:pPr>
              <w:spacing w:after="0" w:before="0"/>
            </w:pPr>
            <w:r>
              <w:rPr>
                <w:rFonts w:ascii="Arial" w:cs="Arial" w:eastAsia="Arial" w:hAnsi="Arial"/>
                <w:i/>
                <w:iCs/>
                <w:color w:val="0D0D1A"/>
                <w:sz w:val="21"/>
                <w:szCs w:val="21"/>
              </w:rPr>
              <w:t xml:space="preserve">The session should close on structure, not blame. The individuals in this case were not uniquely negligent — they were operating inside a system that made inaction rational. The governance lesson is that good people inside bad structures produce bad outcomes. The design of the structure is the board's responsibility.</w:t>
            </w:r>
          </w:p>
        </w:tc>
      </w:tr>
    </w:tbl>
    <w:p>
      <w:pPr>
        <w:spacing w:after="0" w:before="80"/>
      </w:pPr>
    </w:p>
    <w:p>
      <w:pPr>
        <w:spacing w:after="60" w:before="200"/>
      </w:pPr>
      <w:r>
        <w:rPr>
          <w:rFonts w:ascii="Arial" w:cs="Arial" w:eastAsia="Arial" w:hAnsi="Arial"/>
          <w:b/>
          <w:bCs/>
          <w:color w:val="B8860B"/>
          <w:spacing w:val="80"/>
          <w:sz w:val="16"/>
          <w:szCs w:val="16"/>
        </w:rPr>
        <w:t xml:space="preserve">EVALUATION</w:t>
      </w:r>
    </w:p>
    <w:p>
      <w:pPr>
        <w:spacing w:after="100" w:before="0"/>
      </w:pPr>
      <w:r>
        <w:rPr>
          <w:rFonts w:ascii="Arial" w:cs="Arial" w:eastAsia="Arial" w:hAnsi="Arial"/>
          <w:b/>
          <w:bCs/>
          <w:color w:val="0D0D1A"/>
          <w:sz w:val="28"/>
          <w:szCs w:val="28"/>
        </w:rPr>
        <w:t xml:space="preserve">Assessment Suggestions</w:t>
      </w:r>
    </w:p>
    <w:p>
      <w:pPr>
        <w:spacing w:after="60" w:before="60"/>
      </w:pPr>
      <w:r>
        <w:rPr>
          <w:rFonts w:ascii="Arial" w:cs="Arial" w:eastAsia="Arial" w:hAnsi="Arial"/>
          <w:color w:val="0D0D1A"/>
          <w:sz w:val="22"/>
          <w:szCs w:val="22"/>
        </w:rPr>
        <w:t xml:space="preserve">The following essay questions may be used for formal assessment or structured self-study:</w:t>
      </w:r>
    </w:p>
    <w:p>
      <w:pPr>
        <w:spacing w:after="0" w:before="60"/>
      </w:pPr>
    </w:p>
    <w:p>
      <w:pPr>
        <w:spacing w:after="60" w:before="60"/>
      </w:pPr>
      <w:r>
        <w:rPr>
          <w:rFonts w:ascii="Arial" w:cs="Arial" w:eastAsia="Arial" w:hAnsi="Arial"/>
          <w:b/>
          <w:bCs/>
          <w:color w:val="B8860B"/>
          <w:sz w:val="22"/>
          <w:szCs w:val="22"/>
        </w:rPr>
        <w:t xml:space="preserve">1.  </w:t>
      </w:r>
      <w:r>
        <w:rPr>
          <w:rFonts w:ascii="Arial" w:cs="Arial" w:eastAsia="Arial" w:hAnsi="Arial"/>
          <w:color w:val="0D0D1A"/>
          <w:sz w:val="22"/>
          <w:szCs w:val="22"/>
        </w:rPr>
        <w:t xml:space="preserve">Critique the governance structure of the asset management firm focusing on the relationship between risk management and executive decision-making processes. Propose specific changes that could enhance this relationship.</w:t>
      </w:r>
    </w:p>
    <w:p>
      <w:pPr>
        <w:spacing w:after="60" w:before="60"/>
      </w:pPr>
      <w:r>
        <w:rPr>
          <w:rFonts w:ascii="Arial" w:cs="Arial" w:eastAsia="Arial" w:hAnsi="Arial"/>
          <w:b/>
          <w:bCs/>
          <w:color w:val="B8860B"/>
          <w:sz w:val="22"/>
          <w:szCs w:val="22"/>
        </w:rPr>
        <w:t xml:space="preserve">2.  </w:t>
      </w:r>
      <w:r>
        <w:rPr>
          <w:rFonts w:ascii="Arial" w:cs="Arial" w:eastAsia="Arial" w:hAnsi="Arial"/>
          <w:color w:val="0D0D1A"/>
          <w:sz w:val="22"/>
          <w:szCs w:val="22"/>
        </w:rPr>
        <w:t xml:space="preserve">Analyze the role of corporate culture in risk management within the context of the case study. Discuss how changes in culture could have potentially altered the outcome and provide frameworks or models that could assist in fostering a more risk-aware environment.</w:t>
      </w:r>
    </w:p>
    <w:p>
      <w:pPr>
        <w:pBdr>
          <w:bottom w:val="single" w:color="D4AF37" w:sz="4" w:space="1"/>
        </w:pBdr>
        <w:spacing w:after="160" w:before="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500"/>
        <w:gridCol w:w="3860"/>
      </w:tblGrid>
      <w:tr>
        <w:tc>
          <w:tcPr>
            <w:tcW w:type="dxa" w:w="5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pPr>
            <w:r>
              <w:rPr>
                <w:rFonts w:ascii="Arial" w:cs="Arial" w:eastAsia="Arial" w:hAnsi="Arial"/>
                <w:i/>
                <w:iCs/>
                <w:color w:val="8B1A1A"/>
                <w:sz w:val="18"/>
                <w:szCs w:val="18"/>
              </w:rPr>
              <w:t xml:space="preserve">These notes are for educator use only and must not be distributed to students.</w:t>
            </w:r>
          </w:p>
          <w:p>
            <w:pPr>
              <w:spacing w:after="0" w:before="0"/>
            </w:pPr>
            <w:r>
              <w:rPr>
                <w:rFonts w:ascii="Arial" w:cs="Arial" w:eastAsia="Arial" w:hAnsi="Arial"/>
                <w:color w:val="AAAAAA"/>
                <w:sz w:val="16"/>
                <w:szCs w:val="16"/>
              </w:rPr>
              <w:t xml:space="preserve">All persons, institutions, and events are entirely fictional.</w:t>
            </w:r>
          </w:p>
        </w:tc>
        <w:tc>
          <w:tcPr>
            <w:tcW w:type="dxa" w:w="3860"/>
            <w:tcBorders>
              <w:top w:val="none" w:color="FFFFFF" w:sz="0"/>
              <w:left w:val="none" w:color="FFFFFF" w:sz="0"/>
              <w:bottom w:val="none" w:color="FFFFFF" w:sz="0"/>
              <w:right w:val="none" w:color="FFFFFF" w:sz="0"/>
            </w:tcBorders>
            <w:tcMar>
              <w:top w:type="dxa" w:w="0"/>
              <w:left w:type="dxa" w:w="0"/>
              <w:bottom w:type="dxa" w:w="0"/>
              <w:right w:type="dxa" w:w="0"/>
            </w:tcMar>
          </w:tcPr>
          <w:p>
            <w:pPr>
              <w:spacing w:after="40" w:before="0"/>
              <w:jc w:val="right"/>
            </w:pPr>
            <w:r>
              <w:rPr>
                <w:rFonts w:ascii="Arial" w:cs="Arial" w:eastAsia="Arial" w:hAnsi="Arial"/>
                <w:color w:val="B8860B"/>
                <w:sz w:val="18"/>
                <w:szCs w:val="18"/>
              </w:rPr>
              <w:t xml:space="preserve">Episode: https://youtu.be/MVFXvHZrcys</w:t>
            </w:r>
          </w:p>
          <w:p>
            <w:pPr>
              <w:spacing w:after="0" w:before="0"/>
              <w:jc w:val="right"/>
            </w:pPr>
            <w:r>
              <w:rPr>
                <w:rFonts w:ascii="Arial" w:cs="Arial" w:eastAsia="Arial" w:hAnsi="Arial"/>
                <w:color w:val="4A4A6A"/>
                <w:sz w:val="16"/>
                <w:szCs w:val="16"/>
              </w:rPr>
              <w:t xml:space="preserve">CF-001  ·  OBMN Case Library  ·  Educator Access</w:t>
            </w:r>
          </w:p>
        </w:tc>
      </w:tr>
    </w:tbl>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2026-09-13T09:32:00.213Z</dcterms:created>
  <dcterms:modified xsi:type="dcterms:W3CDTF">2026-09-13T09:32:00.213Z</dcterms:modified>
</cp:coreProperties>
</file>

<file path=docProps/custom.xml><?xml version="1.0" encoding="utf-8"?>
<Properties xmlns="http://schemas.openxmlformats.org/officeDocument/2006/custom-properties" xmlns:vt="http://schemas.openxmlformats.org/officeDocument/2006/docPropsVTypes"/>
</file>