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0D1A" w:val="clear"/>
            <w:tcMar>
              <w:top w:type="dxa" w:w="200"/>
              <w:left w:type="dxa" w:w="360"/>
              <w:bottom w:type="dxa" w:w="200"/>
              <w:right w:type="dxa" w:w="3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6"/>
                <w:szCs w:val="16"/>
              </w:rPr>
              <w:t xml:space="preserve">ONE BUSINESS MEDIA NETWORK   ·   COLLAPSE FILES   ·   CF-001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EXECUTIVE SUMMARY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888888"/>
                <w:sz w:val="16"/>
                <w:szCs w:val="16"/>
              </w:rPr>
              <w:t xml:space="preserve">One Page  ·  OBMN Case Library</w:t>
            </w:r>
          </w:p>
        </w:tc>
      </w:tr>
    </w:tbl>
    <w:p>
      <w:pPr>
        <w:pBdr>
          <w:bottom w:val="single" w:color="B8860B" w:sz="12" w:space="0"/>
        </w:pBdr>
        <w:spacing w:after="0" w:before="0"/>
      </w:pPr>
    </w:p>
    <w:p>
      <w:pPr>
        <w:spacing w:after="0" w:before="200"/>
      </w:pPr>
    </w:p>
    <w:p>
      <w:pPr>
        <w:spacing w:after="200" w:before="0"/>
      </w:pPr>
      <w:r>
        <w:rPr>
          <w:rFonts w:ascii="Arial" w:cs="Arial" w:eastAsia="Arial" w:hAnsi="Arial"/>
          <w:b/>
          <w:bCs/>
          <w:color w:val="0D0D1A"/>
          <w:sz w:val="26"/>
          <w:szCs w:val="26"/>
        </w:rPr>
        <w:t xml:space="preserve">She Saw It Coming Eighteen Months Before The Collapse. Nobody Listened.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5"/>
                <w:szCs w:val="15"/>
              </w:rPr>
              <w:t xml:space="preserve">SITUATION</w:t>
            </w:r>
          </w:p>
        </w:tc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D0D1A"/>
                <w:sz w:val="23"/>
                <w:szCs w:val="23"/>
              </w:rPr>
              <w:t xml:space="preserve">A risk officer at a mid-sized UK asset management firm escalated concerns about potential trading losses. Over eighteen months, she documented seventeen serious warnings that went unheeded.</w:t>
            </w:r>
          </w:p>
        </w:tc>
      </w:tr>
    </w:tbl>
    <w:p>
      <w:pPr>
        <w:spacing w:after="0" w:before="60"/>
      </w:pPr>
    </w:p>
    <w:p>
      <w:pPr>
        <w:pBdr>
          <w:bottom w:val="single" w:color="D4AF37" w:sz="2" w:space="1"/>
        </w:pBdr>
        <w:spacing w:after="0" w:before="0"/>
      </w:pPr>
    </w:p>
    <w:p>
      <w:pPr>
        <w:spacing w:after="0" w:before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5"/>
                <w:szCs w:val="15"/>
              </w:rPr>
              <w:t xml:space="preserve">WHAT WENT WRONG</w:t>
            </w:r>
          </w:p>
        </w:tc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D0D1A"/>
                <w:sz w:val="23"/>
                <w:szCs w:val="23"/>
              </w:rPr>
              <w:t xml:space="preserve">Despite clear documentation and acknowledgment, management failed to take action based on the escalations.</w:t>
            </w:r>
          </w:p>
        </w:tc>
      </w:tr>
    </w:tbl>
    <w:p>
      <w:pPr>
        <w:spacing w:after="0" w:before="60"/>
      </w:pPr>
    </w:p>
    <w:p>
      <w:pPr>
        <w:pBdr>
          <w:bottom w:val="single" w:color="D4AF37" w:sz="2" w:space="1"/>
        </w:pBdr>
        <w:spacing w:after="0" w:before="0"/>
      </w:pPr>
    </w:p>
    <w:p>
      <w:pPr>
        <w:spacing w:after="0" w:before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5"/>
                <w:szCs w:val="15"/>
              </w:rPr>
              <w:t xml:space="preserve">THE COST</w:t>
            </w:r>
          </w:p>
        </w:tc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color w:val="8B1A1A"/>
                <w:sz w:val="26"/>
                <w:szCs w:val="26"/>
              </w:rPr>
              <w:t xml:space="preserve">The firm incurred a £340 million trading loss, leading to its collapse in March 2019 and the loss of numerous jobs.</w:t>
            </w:r>
          </w:p>
        </w:tc>
      </w:tr>
    </w:tbl>
    <w:p>
      <w:pPr>
        <w:spacing w:after="0" w:before="60"/>
      </w:pPr>
    </w:p>
    <w:p>
      <w:pPr>
        <w:pBdr>
          <w:bottom w:val="single" w:color="D4AF37" w:sz="2" w:space="1"/>
        </w:pBdr>
        <w:spacing w:after="0" w:before="0"/>
      </w:pPr>
    </w:p>
    <w:p>
      <w:pPr>
        <w:spacing w:after="0" w:before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Arial" w:cs="Arial" w:eastAsia="Arial" w:hAnsi="Arial"/>
                <w:b/>
                <w:bCs/>
                <w:color w:val="B8860B"/>
                <w:spacing w:val="40"/>
                <w:sz w:val="15"/>
                <w:szCs w:val="15"/>
              </w:rPr>
              <w:t xml:space="preserve">GOVERNANCE GAP</w:t>
            </w:r>
          </w:p>
        </w:tc>
        <w:tc>
          <w:tcPr>
            <w:tcW w:type="dxa" w:w="7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D0D1A"/>
                <w:sz w:val="23"/>
                <w:szCs w:val="23"/>
              </w:rPr>
              <w:t xml:space="preserve">There was a critical disconnect between risk management and decision-making authority, allowing warnings to be overlooked.</w:t>
            </w:r>
          </w:p>
        </w:tc>
      </w:tr>
    </w:tbl>
    <w:p>
      <w:pPr>
        <w:spacing w:after="0" w:before="60"/>
      </w:pPr>
    </w:p>
    <w:p>
      <w:pPr>
        <w:pBdr>
          <w:bottom w:val="single" w:color="D4AF37" w:sz="2" w:space="1"/>
        </w:pBdr>
        <w:spacing w:after="0" w:before="0"/>
      </w:pPr>
    </w:p>
    <w:p>
      <w:pPr>
        <w:spacing w:after="0" w:before="60"/>
      </w:pPr>
    </w:p>
    <w:p>
      <w:pPr>
        <w:spacing w:after="60" w:before="0"/>
      </w:pPr>
      <w:r>
        <w:rPr>
          <w:rFonts w:ascii="Arial" w:cs="Arial" w:eastAsia="Arial" w:hAnsi="Arial"/>
          <w:b/>
          <w:bCs/>
          <w:color w:val="B8860B"/>
          <w:spacing w:val="40"/>
          <w:sz w:val="15"/>
          <w:szCs w:val="15"/>
        </w:rPr>
        <w:t xml:space="preserve">THE FIX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"/>
        <w:gridCol w:w="9200"/>
      </w:tblGrid>
      <w:tr>
        <w:tc>
          <w:tcPr>
            <w:tcW w:type="dxa" w:w="160"/>
            <w:tcBorders>
              <w:top w:val="none" w:color="FFFFFF" w:sz="0"/>
              <w:left w:val="single" w:color="B8860B" w:sz="24"/>
              <w:bottom w:val="none" w:color="FFFFFF" w:sz="0"/>
              <w:right w:val="none" w:color="FFFFFF" w:sz="0"/>
            </w:tcBorders>
            <w:shd w:fill="FDF6E3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9200"/>
            <w:tcBorders>
              <w:top w:val="single" w:color="DDDDDD" w:sz="1"/>
              <w:left w:val="none" w:color="FFFFFF" w:sz="0"/>
              <w:bottom w:val="single" w:color="DDDDDD" w:sz="1"/>
              <w:right w:val="single" w:color="DDDDDD" w:sz="1"/>
            </w:tcBorders>
            <w:shd w:fill="FDF6E3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0D0D1A"/>
                <w:sz w:val="21"/>
                <w:szCs w:val="21"/>
              </w:rPr>
              <w:t xml:space="preserve">Implement a formal escalation and accountability structure that mandates action on all documented risk escalations by the appropriate decision-makers.</w:t>
            </w:r>
          </w:p>
        </w:tc>
      </w:tr>
    </w:tbl>
    <w:p>
      <w:pPr>
        <w:spacing w:after="0" w:before="300"/>
      </w:pPr>
    </w:p>
    <w:p>
      <w:pPr>
        <w:pBdr>
          <w:bottom w:val="single" w:color="D4AF37" w:sz="4" w:space="1"/>
        </w:pBdr>
        <w:spacing w:after="1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3860"/>
      </w:tblGrid>
      <w:tr>
        <w:tc>
          <w:tcPr>
            <w:tcW w:type="dxa" w:w="5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4A4A6A"/>
                <w:sz w:val="18"/>
                <w:szCs w:val="18"/>
              </w:rPr>
              <w:t xml:space="preserve">This case is designed to improve judgement, not merely convey history.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AAAAAA"/>
                <w:sz w:val="16"/>
                <w:szCs w:val="16"/>
              </w:rPr>
              <w:t xml:space="preserve">All persons, institutions, and events are entirely fictional.</w:t>
            </w:r>
          </w:p>
        </w:tc>
        <w:tc>
          <w:tcPr>
            <w:tcW w:type="dxa" w:w="3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B8860B"/>
                <w:sz w:val="18"/>
                <w:szCs w:val="18"/>
              </w:rPr>
              <w:t xml:space="preserve">Watch: https://youtu.be/MVFXvHZrcys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4A4A6A"/>
                <w:sz w:val="16"/>
                <w:szCs w:val="16"/>
              </w:rPr>
              <w:t xml:space="preserve">CF-001  ·  OBMN Case Library</w:t>
            </w:r>
          </w:p>
        </w:tc>
      </w:tr>
    </w:tbl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2026-09-13T09:32:00.025Z</dcterms:created>
  <dcterms:modified xsi:type="dcterms:W3CDTF">2026-09-13T09:32:00.025Z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