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0D1A" w:val="clear"/>
            <w:tcMar>
              <w:top w:type="dxa" w:w="200"/>
              <w:left w:type="dxa" w:w="360"/>
              <w:bottom w:type="dxa" w:w="200"/>
              <w:right w:type="dxa" w:w="3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6"/>
                <w:szCs w:val="16"/>
              </w:rPr>
              <w:t xml:space="preserve">ONE BUSINESS MEDIA NETWORK   ·   COLLAPSE FILES   ·   CF-001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DISCUSSION GUIDE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Participant Access  ·  OBMN Case Library</w:t>
            </w:r>
          </w:p>
        </w:tc>
      </w:tr>
    </w:tbl>
    <w:p>
      <w:pPr>
        <w:pBdr>
          <w:bottom w:val="single" w:color="B8860B" w:sz="12" w:space="0"/>
        </w:pBdr>
        <w:spacing w:after="0" w:before="0"/>
      </w:pPr>
    </w:p>
    <w:p>
      <w:pPr>
        <w:spacing w:after="0" w:before="160"/>
      </w:pPr>
    </w:p>
    <w:p>
      <w:pPr>
        <w:spacing w:after="120" w:before="0"/>
      </w:pPr>
      <w:r>
        <w:rPr>
          <w:rFonts w:ascii="Arial" w:cs="Arial" w:eastAsia="Arial" w:hAnsi="Arial"/>
          <w:b/>
          <w:bCs/>
          <w:color w:val="0D0D1A"/>
          <w:sz w:val="26"/>
          <w:szCs w:val="26"/>
        </w:rPr>
        <w:t xml:space="preserve">She Saw It Coming Eighteen Months Before The Collapse. Nobody Listened.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B8860B"/>
          <w:spacing w:val="80"/>
          <w:sz w:val="16"/>
          <w:szCs w:val="16"/>
        </w:rPr>
        <w:t xml:space="preserve">CASE SUMMARY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color w:val="0D0D1A"/>
          <w:sz w:val="28"/>
          <w:szCs w:val="28"/>
        </w:rPr>
        <w:t xml:space="preserve">The Case in Brief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"/>
        <w:gridCol w:w="9200"/>
      </w:tblGrid>
      <w:tr>
        <w:tc>
          <w:tcPr>
            <w:tcW w:type="dxa" w:w="160"/>
            <w:tcBorders>
              <w:top w:val="none" w:color="FFFFFF" w:sz="0"/>
              <w:left w:val="single" w:color="B8860B" w:sz="24"/>
              <w:bottom w:val="none" w:color="FFFFFF" w:sz="0"/>
              <w:right w:val="none" w:color="FFFFFF" w:sz="0"/>
            </w:tcBorders>
            <w:shd w:fill="FDF6E3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00"/>
            <w:tcBorders>
              <w:top w:val="single" w:color="DDDDDD" w:sz="1"/>
              <w:left w:val="none" w:color="FFFFFF" w:sz="0"/>
              <w:bottom w:val="single" w:color="DDDDDD" w:sz="1"/>
              <w:right w:val="single" w:color="DDDDDD" w:sz="1"/>
            </w:tcBorders>
            <w:shd w:fill="FDF6E3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0D0D1A"/>
                <w:sz w:val="21"/>
                <w:szCs w:val="21"/>
              </w:rPr>
              <w:t xml:space="preserve">A risk officer at a mid-sized UK asset management firm logged seventeen escalations over eighteen months regarding impending trading losses. Despite her diligence, the firm suffered a £340 million loss and ultimately collapsed in March 2019.</w:t>
            </w:r>
          </w:p>
        </w:tc>
      </w:tr>
    </w:tbl>
    <w:p>
      <w:pPr>
        <w:spacing w:after="0" w:before="120"/>
      </w:pPr>
    </w:p>
    <w:p>
      <w:pPr>
        <w:spacing w:after="60" w:before="200"/>
      </w:pPr>
      <w:r>
        <w:rPr>
          <w:rFonts w:ascii="Arial" w:cs="Arial" w:eastAsia="Arial" w:hAnsi="Arial"/>
          <w:b/>
          <w:bCs/>
          <w:color w:val="B8860B"/>
          <w:spacing w:val="80"/>
          <w:sz w:val="16"/>
          <w:szCs w:val="16"/>
        </w:rPr>
        <w:t xml:space="preserve">YOUR DECISION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color w:val="0D0D1A"/>
          <w:sz w:val="28"/>
          <w:szCs w:val="28"/>
        </w:rPr>
        <w:t xml:space="preserve">The Decision Point</w:t>
      </w:r>
    </w:p>
    <w:p>
      <w:pPr>
        <w:spacing w:after="60" w:before="60"/>
      </w:pPr>
      <w:r>
        <w:rPr>
          <w:rFonts w:ascii="Arial" w:cs="Arial" w:eastAsia="Arial" w:hAnsi="Arial"/>
          <w:color w:val="0D0D1A"/>
          <w:sz w:val="22"/>
          <w:szCs w:val="22"/>
        </w:rPr>
        <w:t xml:space="preserve">March 2019, as trading losses began to escalate.  </w:t>
      </w:r>
    </w:p>
    <w:p>
      <w:pPr>
        <w:spacing w:after="60" w:before="60"/>
      </w:pPr>
      <w:r>
        <w:rPr>
          <w:rFonts w:ascii="Arial" w:cs="Arial" w:eastAsia="Arial" w:hAnsi="Arial"/>
          <w:color w:val="0D0D1A"/>
          <w:sz w:val="22"/>
          <w:szCs w:val="22"/>
        </w:rPr>
        <w:t xml:space="preserve">The risk officer knew that the firm had reached a tipping point, with her escalations indicating a real and present danger.  </w:t>
      </w:r>
    </w:p>
    <w:p>
      <w:pPr>
        <w:spacing w:after="60" w:before="60"/>
      </w:pPr>
      <w:r>
        <w:rPr>
          <w:rFonts w:ascii="Arial" w:cs="Arial" w:eastAsia="Arial" w:hAnsi="Arial"/>
          <w:color w:val="0D0D1A"/>
          <w:sz w:val="22"/>
          <w:szCs w:val="22"/>
        </w:rPr>
        <w:t xml:space="preserve">You are the Head of Risk Management.  </w:t>
      </w:r>
    </w:p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0D0D1A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Do you escalate the concerns to the Board for immediate action?</w:t>
            </w:r>
          </w:p>
        </w:tc>
      </w:tr>
    </w:tbl>
    <w:p>
      <w:pPr>
        <w:spacing w:after="0" w:before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DECISION — write before discussion begins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120"/>
      </w:pPr>
    </w:p>
    <w:p>
      <w:pPr>
        <w:spacing w:after="60" w:before="200"/>
      </w:pPr>
      <w:r>
        <w:rPr>
          <w:rFonts w:ascii="Arial" w:cs="Arial" w:eastAsia="Arial" w:hAnsi="Arial"/>
          <w:b/>
          <w:bCs/>
          <w:color w:val="B8860B"/>
          <w:spacing w:val="80"/>
          <w:sz w:val="16"/>
          <w:szCs w:val="16"/>
        </w:rPr>
        <w:t xml:space="preserve">FOR DISCUSSION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color w:val="0D0D1A"/>
          <w:sz w:val="28"/>
          <w:szCs w:val="28"/>
        </w:rPr>
        <w:t xml:space="preserve">Discussion Questions</w:t>
      </w:r>
    </w:p>
    <w:p>
      <w:pPr>
        <w:spacing w:after="0" w:before="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Q1</w:t>
      </w:r>
      <w:r>
        <w:rPr>
          <w:rFonts w:ascii="Arial" w:cs="Arial" w:eastAsia="Arial" w:hAnsi="Arial"/>
          <w:color w:val="0D0D1A"/>
          <w:sz w:val="22"/>
          <w:szCs w:val="22"/>
        </w:rPr>
        <w:t xml:space="preserve">  What specific factors contributed to the management's decision to ignore the risk officer’s escalations?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NOTES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Q2</w:t>
      </w:r>
      <w:r>
        <w:rPr>
          <w:rFonts w:ascii="Arial" w:cs="Arial" w:eastAsia="Arial" w:hAnsi="Arial"/>
          <w:color w:val="0D0D1A"/>
          <w:sz w:val="22"/>
          <w:szCs w:val="22"/>
        </w:rPr>
        <w:t xml:space="preserve">  How can an organization implement effective risk governance that empowers risk officers?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NOTES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Q3</w:t>
      </w:r>
      <w:r>
        <w:rPr>
          <w:rFonts w:ascii="Arial" w:cs="Arial" w:eastAsia="Arial" w:hAnsi="Arial"/>
          <w:color w:val="0D0D1A"/>
          <w:sz w:val="22"/>
          <w:szCs w:val="22"/>
        </w:rPr>
        <w:t xml:space="preserve">  What role does corporate culture play in responding to risk warnings?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NOTES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Q4</w:t>
      </w:r>
      <w:r>
        <w:rPr>
          <w:rFonts w:ascii="Arial" w:cs="Arial" w:eastAsia="Arial" w:hAnsi="Arial"/>
          <w:color w:val="0D0D1A"/>
          <w:sz w:val="22"/>
          <w:szCs w:val="22"/>
        </w:rPr>
        <w:t xml:space="preserve">  How might the organization have benefited from a formal escalation protocol?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NOTES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80" w:before="18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Q5</w:t>
      </w:r>
      <w:r>
        <w:rPr>
          <w:rFonts w:ascii="Arial" w:cs="Arial" w:eastAsia="Arial" w:hAnsi="Arial"/>
          <w:color w:val="0D0D1A"/>
          <w:sz w:val="22"/>
          <w:szCs w:val="22"/>
        </w:rPr>
        <w:t xml:space="preserve">  What structural changes would you recommend to prevent future incidents of ignored warnings?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NOTES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0" w:before="80"/>
      </w:pPr>
    </w:p>
    <w:p>
      <w:pPr>
        <w:spacing w:after="60" w:before="200"/>
      </w:pPr>
      <w:r>
        <w:rPr>
          <w:rFonts w:ascii="Arial" w:cs="Arial" w:eastAsia="Arial" w:hAnsi="Arial"/>
          <w:b/>
          <w:bCs/>
          <w:color w:val="B8860B"/>
          <w:spacing w:val="80"/>
          <w:sz w:val="16"/>
          <w:szCs w:val="16"/>
        </w:rPr>
        <w:t xml:space="preserve">REFERENCE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color w:val="0D0D1A"/>
          <w:sz w:val="28"/>
          <w:szCs w:val="28"/>
        </w:rPr>
        <w:t xml:space="preserve">Key Concepts</w:t>
      </w:r>
    </w:p>
    <w:p>
      <w:pPr>
        <w:spacing w:after="60" w:before="60"/>
      </w:pPr>
      <w:r>
        <w:rPr>
          <w:rFonts w:ascii="Arial" w:cs="Arial" w:eastAsia="Arial" w:hAnsi="Arial"/>
          <w:color w:val="0D0D1A"/>
          <w:sz w:val="22"/>
          <w:szCs w:val="22"/>
        </w:rPr>
        <w:t xml:space="preserve">The following frameworks are applied in this case:</w:t>
      </w:r>
    </w:p>
    <w:p>
      <w:pPr>
        <w:spacing w:after="0" w:before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0D0D1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B8860B"/>
                <w:sz w:val="18"/>
                <w:szCs w:val="18"/>
              </w:rPr>
              <w:t xml:space="preserve">Concept</w:t>
            </w:r>
          </w:p>
        </w:tc>
        <w:tc>
          <w:tcPr>
            <w:tcW w:type="dxa" w:w="6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0D0D1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B8860B"/>
                <w:sz w:val="18"/>
                <w:szCs w:val="18"/>
              </w:rPr>
              <w:t xml:space="preserve">Definition</w:t>
            </w:r>
          </w:p>
        </w:tc>
      </w:tr>
      <w:tr>
        <w:tc>
          <w:tcPr>
            <w:tcW w:type="dxa" w:w="2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7F7F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D0D1A"/>
                <w:sz w:val="20"/>
                <w:szCs w:val="20"/>
              </w:rPr>
              <w:t xml:space="preserve">Risk Escalation Protocol</w:t>
            </w:r>
          </w:p>
        </w:tc>
        <w:tc>
          <w:tcPr>
            <w:tcW w:type="dxa" w:w="6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7F7F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color w:val="4A4A6A"/>
                <w:sz w:val="20"/>
                <w:szCs w:val="20"/>
              </w:rPr>
              <w:t xml:space="preserve">A structured approach ensuring that any documented risk raise is acknowledged and acted upon by the decision-makers within a defined timeframe.</w:t>
            </w:r>
          </w:p>
        </w:tc>
      </w:tr>
      <w:tr>
        <w:tc>
          <w:tcPr>
            <w:tcW w:type="dxa" w:w="2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D0D1A"/>
                <w:sz w:val="20"/>
                <w:szCs w:val="20"/>
              </w:rPr>
              <w:t xml:space="preserve">Accountability Framework</w:t>
            </w:r>
          </w:p>
        </w:tc>
        <w:tc>
          <w:tcPr>
            <w:tcW w:type="dxa" w:w="6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color w:val="4A4A6A"/>
                <w:sz w:val="20"/>
                <w:szCs w:val="20"/>
              </w:rPr>
              <w:t xml:space="preserve">Specifies roles and responsibilities for each stage of risk assessment, ensuring that no concerns can be dismissed without justification.</w:t>
            </w:r>
          </w:p>
        </w:tc>
      </w:tr>
      <w:tr>
        <w:tc>
          <w:tcPr>
            <w:tcW w:type="dxa" w:w="2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7F7F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D0D1A"/>
                <w:sz w:val="20"/>
                <w:szCs w:val="20"/>
              </w:rPr>
              <w:t xml:space="preserve">Integrated Risk Dashboard</w:t>
            </w:r>
          </w:p>
        </w:tc>
        <w:tc>
          <w:tcPr>
            <w:tcW w:type="dxa" w:w="6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7F7F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color w:val="4A4A6A"/>
                <w:sz w:val="20"/>
                <w:szCs w:val="20"/>
              </w:rPr>
              <w:t xml:space="preserve">A real-time risk visualization tool that aggregates escalated risks, making information accessible and clear for senior management.</w:t>
            </w:r>
          </w:p>
        </w:tc>
      </w:tr>
      <w:tr>
        <w:tc>
          <w:tcPr>
            <w:tcW w:type="dxa" w:w="2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D0D1A"/>
                <w:sz w:val="20"/>
                <w:szCs w:val="20"/>
              </w:rPr>
              <w:t xml:space="preserve">Risk Culture Assessment</w:t>
            </w:r>
          </w:p>
        </w:tc>
        <w:tc>
          <w:tcPr>
            <w:tcW w:type="dxa" w:w="6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color w:val="4A4A6A"/>
                <w:sz w:val="20"/>
                <w:szCs w:val="20"/>
              </w:rPr>
              <w:t xml:space="preserve">A method for evaluating the organization's culture towards risks, helping identify weaknesses and areas for improvement in governance.</w:t>
            </w:r>
          </w:p>
        </w:tc>
      </w:tr>
      <w:tr>
        <w:tc>
          <w:tcPr>
            <w:tcW w:type="dxa" w:w="24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7F7F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D0D1A"/>
                <w:sz w:val="20"/>
                <w:szCs w:val="20"/>
              </w:rPr>
              <w:t xml:space="preserve">Decision Rights Matrix</w:t>
            </w:r>
          </w:p>
        </w:tc>
        <w:tc>
          <w:tcPr>
            <w:tcW w:type="dxa" w:w="69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7F7F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color w:val="4A4A6A"/>
                <w:sz w:val="20"/>
                <w:szCs w:val="20"/>
              </w:rPr>
              <w:t xml:space="preserve">A governance tool that defines who has authority over risk decisions, clarifying the process and ensuring responsible parties are held accountable.</w:t>
            </w:r>
          </w:p>
        </w:tc>
      </w:tr>
    </w:tbl>
    <w:p>
      <w:pPr>
        <w:spacing w:after="0" w:before="120"/>
      </w:pPr>
    </w:p>
    <w:p>
      <w:pPr>
        <w:spacing w:after="60" w:before="200"/>
      </w:pPr>
      <w:r>
        <w:rPr>
          <w:rFonts w:ascii="Arial" w:cs="Arial" w:eastAsia="Arial" w:hAnsi="Arial"/>
          <w:b/>
          <w:bCs/>
          <w:color w:val="B8860B"/>
          <w:spacing w:val="80"/>
          <w:sz w:val="16"/>
          <w:szCs w:val="16"/>
        </w:rPr>
        <w:t xml:space="preserve">AFTER THE SESSION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color w:val="0D0D1A"/>
          <w:sz w:val="28"/>
          <w:szCs w:val="28"/>
        </w:rPr>
        <w:t xml:space="preserve">Post-Discussion Reflection</w:t>
      </w:r>
    </w:p>
    <w:p>
      <w:pPr>
        <w:spacing w:after="60" w:before="60"/>
      </w:pPr>
      <w:r>
        <w:rPr>
          <w:rFonts w:ascii="Arial" w:cs="Arial" w:eastAsia="Arial" w:hAnsi="Arial"/>
          <w:color w:val="0D0D1A"/>
          <w:sz w:val="22"/>
          <w:szCs w:val="22"/>
        </w:rPr>
        <w:t xml:space="preserve">Complete these after the discussion has closed:</w:t>
      </w:r>
    </w:p>
    <w:p>
      <w:pPr>
        <w:spacing w:after="0" w:before="80"/>
      </w:pPr>
    </w:p>
    <w:p>
      <w:pPr>
        <w:spacing w:after="60" w:before="10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1.  </w:t>
      </w:r>
      <w:r>
        <w:rPr>
          <w:rFonts w:ascii="Arial" w:cs="Arial" w:eastAsia="Arial" w:hAnsi="Arial"/>
          <w:b/>
          <w:bCs/>
          <w:color w:val="0D0D1A"/>
          <w:sz w:val="22"/>
          <w:szCs w:val="22"/>
        </w:rPr>
        <w:t xml:space="preserve">What did you believe at the start of the session that you no longer believe?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REFLECTION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60" w:before="10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2.  </w:t>
      </w:r>
      <w:r>
        <w:rPr>
          <w:rFonts w:ascii="Arial" w:cs="Arial" w:eastAsia="Arial" w:hAnsi="Arial"/>
          <w:b/>
          <w:bCs/>
          <w:color w:val="0D0D1A"/>
          <w:sz w:val="22"/>
          <w:szCs w:val="22"/>
        </w:rPr>
        <w:t xml:space="preserve">Which governance change from the Boardroom Takeaways would you implement first, and why?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REFLECTION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spacing w:after="60" w:before="100"/>
      </w:pPr>
      <w:r>
        <w:rPr>
          <w:rFonts w:ascii="Arial" w:cs="Arial" w:eastAsia="Arial" w:hAnsi="Arial"/>
          <w:b/>
          <w:bCs/>
          <w:color w:val="B8860B"/>
          <w:sz w:val="20"/>
          <w:szCs w:val="20"/>
        </w:rPr>
        <w:t xml:space="preserve">3.  </w:t>
      </w:r>
      <w:r>
        <w:rPr>
          <w:rFonts w:ascii="Arial" w:cs="Arial" w:eastAsia="Arial" w:hAnsi="Arial"/>
          <w:b/>
          <w:bCs/>
          <w:color w:val="0D0D1A"/>
          <w:sz w:val="22"/>
          <w:szCs w:val="22"/>
        </w:rPr>
        <w:t xml:space="preserve">Name one decision you have made — or witnessed — that shares a structural feature with this case.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none" w:color="FFFFFF" w:sz="0"/>
              <w:right w:val="single" w:color="DDDDDD" w:sz="1"/>
            </w:tcBorders>
            <w:shd w:fill="F7F7F4" w:val="clear"/>
            <w:tcMar>
              <w:top w:type="dxa" w:w="60"/>
              <w:left w:type="dxa" w:w="160"/>
              <w:bottom w:type="dxa" w:w="4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7"/>
                <w:szCs w:val="17"/>
              </w:rPr>
              <w:t xml:space="preserve">YOUR REFLECTION</w:t>
            </w: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none" w:color="FFFFFF" w:sz="0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  <w:tr>
        <w:tc>
          <w:tcPr>
            <w:tcW w:type="dxa" w:w="9360"/>
            <w:tcBorders>
              <w:top w:val="single" w:color="E8E8E0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spacing w:after="180" w:before="180"/>
            </w:pPr>
          </w:p>
        </w:tc>
      </w:tr>
    </w:tbl>
    <w:p>
      <w:pPr>
        <w:spacing w:after="0" w:before="60"/>
      </w:pPr>
    </w:p>
    <w:p>
      <w:pPr>
        <w:pBdr>
          <w:bottom w:val="single" w:color="D4AF37" w:sz="4" w:space="1"/>
        </w:pBdr>
        <w:spacing w:after="160" w:before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860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A4A6A"/>
                <w:sz w:val="18"/>
                <w:szCs w:val="18"/>
              </w:rPr>
              <w:t xml:space="preserve">This case is designed to improve judgement, not merely convey history.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AAAAAA"/>
                <w:sz w:val="16"/>
                <w:szCs w:val="16"/>
              </w:rPr>
              <w:t xml:space="preserve">All persons, institutions, and events are entirely fictional.</w:t>
            </w:r>
          </w:p>
        </w:tc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B8860B"/>
                <w:sz w:val="18"/>
                <w:szCs w:val="18"/>
              </w:rPr>
              <w:t xml:space="preserve">Watch: https://youtu.be/MVFXvHZrcys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4A4A6A"/>
                <w:sz w:val="16"/>
                <w:szCs w:val="16"/>
              </w:rPr>
              <w:t xml:space="preserve">CF-001  ·  OBMN Case Library</w:t>
            </w:r>
          </w:p>
        </w:tc>
      </w:tr>
    </w:tbl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2026-09-13T09:32:00.313Z</dcterms:created>
  <dcterms:modified xsi:type="dcterms:W3CDTF">2026-09-13T09:32:00.313Z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