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D0D1A" w:val="clear"/>
            <w:tcMar>
              <w:top w:type="dxa" w:w="200"/>
              <w:left w:type="dxa" w:w="360"/>
              <w:bottom w:type="dxa" w:w="200"/>
              <w:right w:type="dxa" w:w="360"/>
            </w:tcMar>
          </w:tcPr>
          <w:p>
            <w:pPr>
              <w:spacing w:after="40" w:before="0"/>
            </w:pPr>
            <w:r>
              <w:rPr>
                <w:rFonts w:ascii="Arial" w:cs="Arial" w:eastAsia="Arial" w:hAnsi="Arial"/>
                <w:b/>
                <w:bCs/>
                <w:color w:val="B8860B"/>
                <w:spacing w:val="40"/>
                <w:sz w:val="16"/>
                <w:szCs w:val="16"/>
              </w:rPr>
              <w:t xml:space="preserve">ONE BUSINESS MEDIA NETWORK   ·   COLLAPSE FILES   ·   CF-001</w:t>
            </w:r>
          </w:p>
          <w:p>
            <w:pPr>
              <w:spacing w:after="20" w:before="0"/>
            </w:pPr>
            <w:r>
              <w:rPr>
                <w:rFonts w:ascii="Arial" w:cs="Arial" w:eastAsia="Arial" w:hAnsi="Arial"/>
                <w:b/>
                <w:bCs/>
                <w:color w:val="FFFFFF"/>
                <w:sz w:val="40"/>
                <w:szCs w:val="40"/>
              </w:rPr>
              <w:t xml:space="preserve">CASE STUDY</w:t>
            </w:r>
          </w:p>
          <w:p>
            <w:pPr>
              <w:spacing w:after="0" w:before="0"/>
            </w:pPr>
            <w:r>
              <w:rPr>
                <w:rFonts w:ascii="Arial" w:cs="Arial" w:eastAsia="Arial" w:hAnsi="Arial"/>
                <w:color w:val="888888"/>
                <w:sz w:val="16"/>
                <w:szCs w:val="16"/>
              </w:rPr>
              <w:t xml:space="preserve">Member Access  ·  OBMN Case Library</w:t>
            </w:r>
          </w:p>
        </w:tc>
      </w:tr>
    </w:tbl>
    <w:p>
      <w:pPr>
        <w:pBdr>
          <w:bottom w:val="single" w:color="B8860B" w:sz="12" w:space="0"/>
        </w:pBdr>
        <w:spacing w:after="0" w:before="0"/>
      </w:pPr>
    </w:p>
    <w:p>
      <w:pPr>
        <w:spacing w:after="0" w:before="160"/>
      </w:pPr>
    </w:p>
    <w:p>
      <w:pPr>
        <w:spacing w:after="120" w:before="0"/>
      </w:pPr>
      <w:r>
        <w:rPr>
          <w:rFonts w:ascii="Arial" w:cs="Arial" w:eastAsia="Arial" w:hAnsi="Arial"/>
          <w:b/>
          <w:bCs/>
          <w:color w:val="0D0D1A"/>
          <w:sz w:val="26"/>
          <w:szCs w:val="26"/>
        </w:rPr>
        <w:t xml:space="preserve">She Saw It Coming Eighteen Months Before The Collapse. Nobody Listened.</w:t>
      </w:r>
    </w:p>
    <w:p>
      <w:pPr>
        <w:spacing w:after="60" w:before="200"/>
      </w:pPr>
      <w:r>
        <w:rPr>
          <w:rFonts w:ascii="Arial" w:cs="Arial" w:eastAsia="Arial" w:hAnsi="Arial"/>
          <w:b/>
          <w:bCs/>
          <w:color w:val="B8860B"/>
          <w:spacing w:val="80"/>
          <w:sz w:val="16"/>
          <w:szCs w:val="16"/>
        </w:rPr>
        <w:t xml:space="preserve">FULL CASE NARRATIVE</w:t>
      </w:r>
    </w:p>
    <w:p>
      <w:pPr>
        <w:spacing w:after="100" w:before="0"/>
      </w:pPr>
      <w:r>
        <w:rPr>
          <w:rFonts w:ascii="Arial" w:cs="Arial" w:eastAsia="Arial" w:hAnsi="Arial"/>
          <w:b/>
          <w:bCs/>
          <w:color w:val="0D0D1A"/>
          <w:sz w:val="28"/>
          <w:szCs w:val="28"/>
        </w:rPr>
        <w:t xml:space="preserve">The Case</w:t>
      </w:r>
    </w:p>
    <w:p>
      <w:pPr>
        <w:spacing w:after="60" w:before="60"/>
      </w:pPr>
      <w:r>
        <w:rPr>
          <w:rFonts w:ascii="Arial" w:cs="Arial" w:eastAsia="Arial" w:hAnsi="Arial"/>
          <w:color w:val="0D0D1A"/>
          <w:sz w:val="22"/>
          <w:szCs w:val="22"/>
        </w:rPr>
        <w:t xml:space="preserve">In September 2017, the risk officer at a mid-sized UK asset management firm began documenting her concerns about the trading practices that could lead to significant financial losses. Over the next eighteen months, she documented seventeen separate escalations to the firm’s management, clearly detailing her analyses and the risks involved. Each of her warnings was acknowledged but met with inaction. </w:t>
      </w:r>
    </w:p>
    <w:p>
      <w:pPr>
        <w:spacing w:after="60" w:before="60"/>
      </w:pPr>
      <w:r>
        <w:rPr>
          <w:rFonts w:ascii="Arial" w:cs="Arial" w:eastAsia="Arial" w:hAnsi="Arial"/>
          <w:color w:val="0D0D1A"/>
          <w:sz w:val="22"/>
          <w:szCs w:val="22"/>
        </w:rPr>
        <w:t xml:space="preserve">By March 2019, the firm faced an alarming trading loss totaling £340 million. The risk officer's records showed that despite repeated notifications of potential issues, there was no substantial response from the firm's decision-makers. They continuously prioritized short-term gains over prudent risk management. Ultimately, the situation reached a crisis point, leading to the firm’s collapse and resulting in widespread job losses and reputational damage. To this day, the risk officer remains frustrated—and committed to demonstrating the serious implications of overlooked risk management.</w:t>
      </w:r>
    </w:p>
    <w:p>
      <w:pPr>
        <w:spacing w:after="0" w:before="80"/>
      </w:pPr>
    </w:p>
    <w:p>
      <w:pPr>
        <w:spacing w:after="60" w:before="200"/>
      </w:pPr>
      <w:r>
        <w:rPr>
          <w:rFonts w:ascii="Arial" w:cs="Arial" w:eastAsia="Arial" w:hAnsi="Arial"/>
          <w:b/>
          <w:bCs/>
          <w:color w:val="B8860B"/>
          <w:spacing w:val="80"/>
          <w:sz w:val="16"/>
          <w:szCs w:val="16"/>
        </w:rPr>
        <w:t xml:space="preserve">ACTIVE JUDGEMENT</w:t>
      </w:r>
    </w:p>
    <w:p>
      <w:pPr>
        <w:spacing w:after="100" w:before="0"/>
      </w:pPr>
      <w:r>
        <w:rPr>
          <w:rFonts w:ascii="Arial" w:cs="Arial" w:eastAsia="Arial" w:hAnsi="Arial"/>
          <w:b/>
          <w:bCs/>
          <w:color w:val="0D0D1A"/>
          <w:sz w:val="28"/>
          <w:szCs w:val="28"/>
        </w:rPr>
        <w:t xml:space="preserve">The Decision Point</w:t>
      </w:r>
    </w:p>
    <w:p>
      <w:pPr>
        <w:spacing w:after="60" w:before="60"/>
      </w:pPr>
      <w:r>
        <w:rPr>
          <w:rFonts w:ascii="Arial" w:cs="Arial" w:eastAsia="Arial" w:hAnsi="Arial"/>
          <w:color w:val="0D0D1A"/>
          <w:sz w:val="22"/>
          <w:szCs w:val="22"/>
        </w:rPr>
        <w:t xml:space="preserve">March 2019, as trading losses began to escalate.   The risk officer knew that the firm had reached a tipping point, with her escalations indicating a real and present danger.   You are the Head of Risk Management.  </w:t>
      </w:r>
    </w:p>
    <w:p>
      <w:pPr>
        <w:spacing w:after="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
        <w:gridCol w:w="9200"/>
      </w:tblGrid>
      <w:tr>
        <w:tc>
          <w:tcPr>
            <w:tcW w:type="dxa" w:w="160"/>
            <w:tcBorders>
              <w:top w:val="none" w:color="FFFFFF" w:sz="0"/>
              <w:left w:val="single" w:color="B8860B" w:sz="24"/>
              <w:bottom w:val="none" w:color="FFFFFF" w:sz="0"/>
              <w:right w:val="none" w:color="FFFFFF" w:sz="0"/>
            </w:tcBorders>
            <w:shd w:fill="FDF6E3" w:val="clear"/>
            <w:tcMar>
              <w:top w:type="dxa" w:w="0"/>
              <w:left w:type="dxa" w:w="0"/>
              <w:bottom w:type="dxa" w:w="0"/>
              <w:right w:type="dxa" w:w="0"/>
            </w:tcMar>
          </w:tcPr>
          <w:p/>
        </w:tc>
        <w:tc>
          <w:tcPr>
            <w:tcW w:type="dxa" w:w="9200"/>
            <w:tcBorders>
              <w:top w:val="single" w:color="DDDDDD" w:sz="1"/>
              <w:left w:val="none" w:color="FFFFFF" w:sz="0"/>
              <w:bottom w:val="single" w:color="DDDDDD" w:sz="1"/>
              <w:right w:val="single" w:color="DDDDDD" w:sz="1"/>
            </w:tcBorders>
            <w:shd w:fill="FDF6E3" w:val="clear"/>
            <w:tcMar>
              <w:top w:type="dxa" w:w="140"/>
              <w:left w:type="dxa" w:w="180"/>
              <w:bottom w:type="dxa" w:w="140"/>
              <w:right w:type="dxa" w:w="180"/>
            </w:tcMar>
          </w:tcPr>
          <w:p>
            <w:pPr>
              <w:spacing w:after="0" w:before="0"/>
            </w:pPr>
            <w:r>
              <w:rPr>
                <w:rFonts w:ascii="Arial" w:cs="Arial" w:eastAsia="Arial" w:hAnsi="Arial"/>
                <w:i/>
                <w:iCs/>
                <w:color w:val="0D0D1A"/>
                <w:sz w:val="21"/>
                <w:szCs w:val="21"/>
              </w:rPr>
              <w:t xml:space="preserve">Do you escalate the concerns to the Board for immediate action?</w:t>
            </w:r>
          </w:p>
        </w:tc>
      </w:tr>
    </w:tbl>
    <w:p>
      <w:pPr>
        <w:spacing w:after="0" w:before="80"/>
      </w:pPr>
    </w:p>
    <w:p>
      <w:pPr>
        <w:spacing w:after="60" w:before="200"/>
      </w:pPr>
      <w:r>
        <w:rPr>
          <w:rFonts w:ascii="Arial" w:cs="Arial" w:eastAsia="Arial" w:hAnsi="Arial"/>
          <w:b/>
          <w:bCs/>
          <w:color w:val="B8860B"/>
          <w:spacing w:val="80"/>
          <w:sz w:val="16"/>
          <w:szCs w:val="16"/>
        </w:rPr>
        <w:t xml:space="preserve">WARNING SIGNS</w:t>
      </w:r>
    </w:p>
    <w:p>
      <w:pPr>
        <w:spacing w:after="100" w:before="0"/>
      </w:pPr>
      <w:r>
        <w:rPr>
          <w:rFonts w:ascii="Arial" w:cs="Arial" w:eastAsia="Arial" w:hAnsi="Arial"/>
          <w:b/>
          <w:bCs/>
          <w:color w:val="0D0D1A"/>
          <w:sz w:val="28"/>
          <w:szCs w:val="28"/>
        </w:rPr>
        <w:t xml:space="preserve">Red Flags</w:t>
      </w:r>
    </w:p>
    <w:p>
      <w:pPr>
        <w:spacing w:after="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
        <w:gridCol w:w="9080"/>
      </w:tblGrid>
      <w:tr>
        <w:tc>
          <w:tcPr>
            <w:tcW w:type="dxa" w:w="280"/>
            <w:tcBorders>
              <w:top w:val="none" w:color="FFFFFF" w:sz="0"/>
              <w:left w:val="none" w:color="FFFFFF" w:sz="0"/>
              <w:bottom w:val="none" w:color="FFFFFF" w:sz="0"/>
              <w:right w:val="none" w:color="FFFFFF" w:sz="0"/>
            </w:tcBorders>
            <w:tcMar>
              <w:top w:type="dxa" w:w="60"/>
              <w:left w:type="dxa" w:w="0"/>
              <w:bottom w:type="dxa" w:w="0"/>
              <w:right w:type="dxa" w:w="100"/>
            </w:tcMar>
          </w:tcPr>
          <w:p>
            <w:r>
              <w:rPr>
                <w:rFonts w:ascii="Arial" w:cs="Arial" w:eastAsia="Arial" w:hAnsi="Arial"/>
                <w:b/>
                <w:bCs/>
                <w:color w:val="8B1A1A"/>
                <w:sz w:val="24"/>
                <w:szCs w:val="24"/>
              </w:rPr>
              <w:t xml:space="preserve">—</w:t>
            </w:r>
          </w:p>
        </w:tc>
        <w:tc>
          <w:tcPr>
            <w:tcW w:type="dxa" w:w="9080"/>
            <w:tcBorders>
              <w:top w:val="none" w:color="FFFFFF" w:sz="0"/>
              <w:left w:val="none" w:color="FFFFFF" w:sz="0"/>
              <w:bottom w:val="none" w:color="FFFFFF" w:sz="0"/>
              <w:right w:val="none" w:color="FFFFFF" w:sz="0"/>
            </w:tcBorders>
            <w:tcMar>
              <w:top w:type="dxa" w:w="60"/>
              <w:left w:type="dxa" w:w="0"/>
              <w:bottom w:type="dxa" w:w="0"/>
              <w:right w:type="dxa" w:w="0"/>
            </w:tcMar>
          </w:tcPr>
          <w:p>
            <w:pPr>
              <w:spacing w:after="0" w:before="0"/>
            </w:pPr>
            <w:r>
              <w:rPr>
                <w:rFonts w:ascii="Arial" w:cs="Arial" w:eastAsia="Arial" w:hAnsi="Arial"/>
                <w:b/>
                <w:bCs/>
                <w:color w:val="0D0D1A"/>
                <w:sz w:val="22"/>
                <w:szCs w:val="22"/>
              </w:rPr>
              <w:t xml:space="preserve">The risk officer issued seventeen written alerts over eighteen months indicating escalating risks, but they were ignored.</w:t>
            </w:r>
          </w:p>
        </w:tc>
      </w:tr>
    </w:tbl>
    <w:p>
      <w:pPr>
        <w:spacing w:after="80" w:before="40"/>
        <w:ind w:left="360"/>
      </w:pPr>
      <w:r>
        <w:rPr>
          <w:rFonts w:ascii="Arial" w:cs="Arial" w:eastAsia="Arial" w:hAnsi="Arial"/>
          <w:i/>
          <w:iCs/>
          <w:color w:val="4A4A6A"/>
          <w:sz w:val="20"/>
          <w:szCs w:val="20"/>
        </w:rPr>
        <w:t xml:space="preserve">Management prioritized current trading performance over documented risks, dismissing the severity of the warnings.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
        <w:gridCol w:w="9080"/>
      </w:tblGrid>
      <w:tr>
        <w:tc>
          <w:tcPr>
            <w:tcW w:type="dxa" w:w="280"/>
            <w:tcBorders>
              <w:top w:val="none" w:color="FFFFFF" w:sz="0"/>
              <w:left w:val="none" w:color="FFFFFF" w:sz="0"/>
              <w:bottom w:val="none" w:color="FFFFFF" w:sz="0"/>
              <w:right w:val="none" w:color="FFFFFF" w:sz="0"/>
            </w:tcBorders>
            <w:tcMar>
              <w:top w:type="dxa" w:w="60"/>
              <w:left w:type="dxa" w:w="0"/>
              <w:bottom w:type="dxa" w:w="0"/>
              <w:right w:type="dxa" w:w="100"/>
            </w:tcMar>
          </w:tcPr>
          <w:p>
            <w:r>
              <w:rPr>
                <w:rFonts w:ascii="Arial" w:cs="Arial" w:eastAsia="Arial" w:hAnsi="Arial"/>
                <w:b/>
                <w:bCs/>
                <w:color w:val="8B1A1A"/>
                <w:sz w:val="24"/>
                <w:szCs w:val="24"/>
              </w:rPr>
              <w:t xml:space="preserve">—</w:t>
            </w:r>
          </w:p>
        </w:tc>
        <w:tc>
          <w:tcPr>
            <w:tcW w:type="dxa" w:w="9080"/>
            <w:tcBorders>
              <w:top w:val="none" w:color="FFFFFF" w:sz="0"/>
              <w:left w:val="none" w:color="FFFFFF" w:sz="0"/>
              <w:bottom w:val="none" w:color="FFFFFF" w:sz="0"/>
              <w:right w:val="none" w:color="FFFFFF" w:sz="0"/>
            </w:tcBorders>
            <w:tcMar>
              <w:top w:type="dxa" w:w="60"/>
              <w:left w:type="dxa" w:w="0"/>
              <w:bottom w:type="dxa" w:w="0"/>
              <w:right w:type="dxa" w:w="0"/>
            </w:tcMar>
          </w:tcPr>
          <w:p>
            <w:pPr>
              <w:spacing w:after="0" w:before="0"/>
            </w:pPr>
            <w:r>
              <w:rPr>
                <w:rFonts w:ascii="Arial" w:cs="Arial" w:eastAsia="Arial" w:hAnsi="Arial"/>
                <w:b/>
                <w:bCs/>
                <w:color w:val="0D0D1A"/>
                <w:sz w:val="22"/>
                <w:szCs w:val="22"/>
              </w:rPr>
              <w:t xml:space="preserve">Management acknowledged each escalation but failed to take appropriate action subsequently.</w:t>
            </w:r>
          </w:p>
        </w:tc>
      </w:tr>
    </w:tbl>
    <w:p>
      <w:pPr>
        <w:spacing w:after="80" w:before="40"/>
        <w:ind w:left="360"/>
      </w:pPr>
      <w:r>
        <w:rPr>
          <w:rFonts w:ascii="Arial" w:cs="Arial" w:eastAsia="Arial" w:hAnsi="Arial"/>
          <w:i/>
          <w:iCs/>
          <w:color w:val="4A4A6A"/>
          <w:sz w:val="20"/>
          <w:szCs w:val="20"/>
        </w:rPr>
        <w:t xml:space="preserve">There seemed to be a culture of complacency and a lack of defined accountability processes in decision-making.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
        <w:gridCol w:w="9080"/>
      </w:tblGrid>
      <w:tr>
        <w:tc>
          <w:tcPr>
            <w:tcW w:type="dxa" w:w="280"/>
            <w:tcBorders>
              <w:top w:val="none" w:color="FFFFFF" w:sz="0"/>
              <w:left w:val="none" w:color="FFFFFF" w:sz="0"/>
              <w:bottom w:val="none" w:color="FFFFFF" w:sz="0"/>
              <w:right w:val="none" w:color="FFFFFF" w:sz="0"/>
            </w:tcBorders>
            <w:tcMar>
              <w:top w:type="dxa" w:w="60"/>
              <w:left w:type="dxa" w:w="0"/>
              <w:bottom w:type="dxa" w:w="0"/>
              <w:right w:type="dxa" w:w="100"/>
            </w:tcMar>
          </w:tcPr>
          <w:p>
            <w:r>
              <w:rPr>
                <w:rFonts w:ascii="Arial" w:cs="Arial" w:eastAsia="Arial" w:hAnsi="Arial"/>
                <w:b/>
                <w:bCs/>
                <w:color w:val="8B1A1A"/>
                <w:sz w:val="24"/>
                <w:szCs w:val="24"/>
              </w:rPr>
              <w:t xml:space="preserve">—</w:t>
            </w:r>
          </w:p>
        </w:tc>
        <w:tc>
          <w:tcPr>
            <w:tcW w:type="dxa" w:w="9080"/>
            <w:tcBorders>
              <w:top w:val="none" w:color="FFFFFF" w:sz="0"/>
              <w:left w:val="none" w:color="FFFFFF" w:sz="0"/>
              <w:bottom w:val="none" w:color="FFFFFF" w:sz="0"/>
              <w:right w:val="none" w:color="FFFFFF" w:sz="0"/>
            </w:tcBorders>
            <w:tcMar>
              <w:top w:type="dxa" w:w="60"/>
              <w:left w:type="dxa" w:w="0"/>
              <w:bottom w:type="dxa" w:w="0"/>
              <w:right w:type="dxa" w:w="0"/>
            </w:tcMar>
          </w:tcPr>
          <w:p>
            <w:pPr>
              <w:spacing w:after="0" w:before="0"/>
            </w:pPr>
            <w:r>
              <w:rPr>
                <w:rFonts w:ascii="Arial" w:cs="Arial" w:eastAsia="Arial" w:hAnsi="Arial"/>
                <w:b/>
                <w:bCs/>
                <w:color w:val="0D0D1A"/>
                <w:sz w:val="22"/>
                <w:szCs w:val="22"/>
              </w:rPr>
              <w:t xml:space="preserve">Trading losses were projected to exceed reasonable thresholds, which were communicated clearly in reports.</w:t>
            </w:r>
          </w:p>
        </w:tc>
      </w:tr>
    </w:tbl>
    <w:p>
      <w:pPr>
        <w:spacing w:after="80" w:before="40"/>
        <w:ind w:left="360"/>
      </w:pPr>
      <w:r>
        <w:rPr>
          <w:rFonts w:ascii="Arial" w:cs="Arial" w:eastAsia="Arial" w:hAnsi="Arial"/>
          <w:i/>
          <w:iCs/>
          <w:color w:val="4A4A6A"/>
          <w:sz w:val="20"/>
          <w:szCs w:val="20"/>
        </w:rPr>
        <w:t xml:space="preserve">The focus on short-term profits suppressed the urgency to address the underlying issues presented in the reports.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
        <w:gridCol w:w="9080"/>
      </w:tblGrid>
      <w:tr>
        <w:tc>
          <w:tcPr>
            <w:tcW w:type="dxa" w:w="280"/>
            <w:tcBorders>
              <w:top w:val="none" w:color="FFFFFF" w:sz="0"/>
              <w:left w:val="none" w:color="FFFFFF" w:sz="0"/>
              <w:bottom w:val="none" w:color="FFFFFF" w:sz="0"/>
              <w:right w:val="none" w:color="FFFFFF" w:sz="0"/>
            </w:tcBorders>
            <w:tcMar>
              <w:top w:type="dxa" w:w="60"/>
              <w:left w:type="dxa" w:w="0"/>
              <w:bottom w:type="dxa" w:w="0"/>
              <w:right w:type="dxa" w:w="100"/>
            </w:tcMar>
          </w:tcPr>
          <w:p>
            <w:r>
              <w:rPr>
                <w:rFonts w:ascii="Arial" w:cs="Arial" w:eastAsia="Arial" w:hAnsi="Arial"/>
                <w:b/>
                <w:bCs/>
                <w:color w:val="8B1A1A"/>
                <w:sz w:val="24"/>
                <w:szCs w:val="24"/>
              </w:rPr>
              <w:t xml:space="preserve">—</w:t>
            </w:r>
          </w:p>
        </w:tc>
        <w:tc>
          <w:tcPr>
            <w:tcW w:type="dxa" w:w="9080"/>
            <w:tcBorders>
              <w:top w:val="none" w:color="FFFFFF" w:sz="0"/>
              <w:left w:val="none" w:color="FFFFFF" w:sz="0"/>
              <w:bottom w:val="none" w:color="FFFFFF" w:sz="0"/>
              <w:right w:val="none" w:color="FFFFFF" w:sz="0"/>
            </w:tcBorders>
            <w:tcMar>
              <w:top w:type="dxa" w:w="60"/>
              <w:left w:type="dxa" w:w="0"/>
              <w:bottom w:type="dxa" w:w="0"/>
              <w:right w:type="dxa" w:w="0"/>
            </w:tcMar>
          </w:tcPr>
          <w:p>
            <w:pPr>
              <w:spacing w:after="0" w:before="0"/>
            </w:pPr>
            <w:r>
              <w:rPr>
                <w:rFonts w:ascii="Arial" w:cs="Arial" w:eastAsia="Arial" w:hAnsi="Arial"/>
                <w:b/>
                <w:bCs/>
                <w:color w:val="0D0D1A"/>
                <w:sz w:val="22"/>
                <w:szCs w:val="22"/>
              </w:rPr>
              <w:t xml:space="preserve">The firm lacked a formal protocol for escalating risk warnings to upper management or the Board.</w:t>
            </w:r>
          </w:p>
        </w:tc>
      </w:tr>
    </w:tbl>
    <w:p>
      <w:pPr>
        <w:spacing w:after="80" w:before="40"/>
        <w:ind w:left="360"/>
      </w:pPr>
      <w:r>
        <w:rPr>
          <w:rFonts w:ascii="Arial" w:cs="Arial" w:eastAsia="Arial" w:hAnsi="Arial"/>
          <w:i/>
          <w:iCs/>
          <w:color w:val="4A4A6A"/>
          <w:sz w:val="20"/>
          <w:szCs w:val="20"/>
        </w:rPr>
        <w:t xml:space="preserve">This structural absence enabled the management to dismiss serious warnings without consequence or follow-up.</w:t>
      </w:r>
    </w:p>
    <w:p>
      <w:pPr>
        <w:spacing w:after="0" w:before="80"/>
      </w:pPr>
    </w:p>
    <w:p>
      <w:pPr>
        <w:spacing w:after="60" w:before="200"/>
      </w:pPr>
      <w:r>
        <w:rPr>
          <w:rFonts w:ascii="Arial" w:cs="Arial" w:eastAsia="Arial" w:hAnsi="Arial"/>
          <w:b/>
          <w:bCs/>
          <w:color w:val="B8860B"/>
          <w:spacing w:val="80"/>
          <w:sz w:val="16"/>
          <w:szCs w:val="16"/>
        </w:rPr>
        <w:t xml:space="preserve">ROOT CAUSE ANALYSIS</w:t>
      </w:r>
    </w:p>
    <w:p>
      <w:pPr>
        <w:spacing w:after="100" w:before="0"/>
      </w:pPr>
      <w:r>
        <w:rPr>
          <w:rFonts w:ascii="Arial" w:cs="Arial" w:eastAsia="Arial" w:hAnsi="Arial"/>
          <w:b/>
          <w:bCs/>
          <w:color w:val="0D0D1A"/>
          <w:sz w:val="28"/>
          <w:szCs w:val="28"/>
        </w:rPr>
        <w:t xml:space="preserve">Why They Were Ignored</w:t>
      </w:r>
    </w:p>
    <w:p>
      <w:pPr>
        <w:spacing w:after="60" w:before="60"/>
      </w:pPr>
      <w:r>
        <w:rPr>
          <w:rFonts w:ascii="Arial" w:cs="Arial" w:eastAsia="Arial" w:hAnsi="Arial"/>
          <w:color w:val="0D0D1A"/>
          <w:sz w:val="22"/>
          <w:szCs w:val="22"/>
        </w:rPr>
        <w:t xml:space="preserve">The organization's culture prioritized immediate profits over the long-term sustainability of its operations. Management's resistance to acknowledging and acting upon warning signs created an environment where risk officers felt disempowered. Instead of viewing risk management as a vital aspect of their strategy, it was often considered an obstacle to achieving short-term financial targets.</w:t>
      </w:r>
    </w:p>
    <w:p>
      <w:pPr>
        <w:spacing w:after="60" w:before="60"/>
      </w:pPr>
      <w:r>
        <w:rPr>
          <w:rFonts w:ascii="Arial" w:cs="Arial" w:eastAsia="Arial" w:hAnsi="Arial"/>
          <w:color w:val="0D0D1A"/>
          <w:sz w:val="22"/>
          <w:szCs w:val="22"/>
        </w:rPr>
        <w:t xml:space="preserve">Furthermore, the absence of robust governance structures prevented the escalation of issues beyond the risk officer. The firm lacked clear accountability, leading to a disregard for documented risks. This systemic oversight not only silenced vital voices but also obstructed the integration of crucial risk insights into decision-making processes.</w:t>
      </w:r>
    </w:p>
    <w:p>
      <w:pPr>
        <w:spacing w:after="0" w:before="80"/>
      </w:pPr>
    </w:p>
    <w:p>
      <w:pPr>
        <w:spacing w:after="60" w:before="200"/>
      </w:pPr>
      <w:r>
        <w:rPr>
          <w:rFonts w:ascii="Arial" w:cs="Arial" w:eastAsia="Arial" w:hAnsi="Arial"/>
          <w:b/>
          <w:bCs/>
          <w:color w:val="B8860B"/>
          <w:spacing w:val="80"/>
          <w:sz w:val="16"/>
          <w:szCs w:val="16"/>
        </w:rPr>
        <w:t xml:space="preserve">COUNTERFACTUAL</w:t>
      </w:r>
    </w:p>
    <w:p>
      <w:pPr>
        <w:spacing w:after="100" w:before="0"/>
      </w:pPr>
      <w:r>
        <w:rPr>
          <w:rFonts w:ascii="Arial" w:cs="Arial" w:eastAsia="Arial" w:hAnsi="Arial"/>
          <w:b/>
          <w:bCs/>
          <w:color w:val="0D0D1A"/>
          <w:sz w:val="28"/>
          <w:szCs w:val="28"/>
        </w:rPr>
        <w:t xml:space="preserve">What Should Have Happened</w:t>
      </w:r>
    </w:p>
    <w:p>
      <w:pPr>
        <w:spacing w:after="60" w:before="60"/>
      </w:pPr>
      <w:r>
        <w:rPr>
          <w:rFonts w:ascii="Arial" w:cs="Arial" w:eastAsia="Arial" w:hAnsi="Arial"/>
          <w:color w:val="0D0D1A"/>
          <w:sz w:val="22"/>
          <w:szCs w:val="22"/>
        </w:rPr>
        <w:t xml:space="preserve">The firm needed to develop a robust risk management protocol that mandated clear and timely actions in response to escalated warnings. By establishing an accountable oversight body that requires management to report back on risk issues raised, the firm could ensure that crucial warnings are taken seriously and assessed prioritizing the organization's long-term health over immediate gains.</w:t>
      </w:r>
    </w:p>
    <w:p>
      <w:pPr>
        <w:spacing w:after="60" w:before="60"/>
      </w:pPr>
      <w:r>
        <w:rPr>
          <w:rFonts w:ascii="Arial" w:cs="Arial" w:eastAsia="Arial" w:hAnsi="Arial"/>
          <w:color w:val="0D0D1A"/>
          <w:sz w:val="22"/>
          <w:szCs w:val="22"/>
        </w:rPr>
        <w:t xml:space="preserve">Additionally, a culture of open dialogue between risk management and executive leadership would cultivate a proactive approach to risks. Training for leadership on governance and risk awareness could have transformed how warnings were perceived, integrating risk management into the firm’s core decision-making processes.</w:t>
      </w:r>
    </w:p>
    <w:p>
      <w:pPr>
        <w:pBdr>
          <w:bottom w:val="single" w:color="D4AF37" w:sz="4" w:space="1"/>
        </w:pBdr>
        <w:spacing w:after="0" w:before="200"/>
      </w:pPr>
    </w:p>
    <w:p>
      <w:pPr>
        <w:spacing w:after="60" w:before="200"/>
      </w:pPr>
      <w:r>
        <w:rPr>
          <w:rFonts w:ascii="Arial" w:cs="Arial" w:eastAsia="Arial" w:hAnsi="Arial"/>
          <w:b/>
          <w:bCs/>
          <w:color w:val="B8860B"/>
          <w:spacing w:val="80"/>
          <w:sz w:val="16"/>
          <w:szCs w:val="16"/>
        </w:rPr>
        <w:t xml:space="preserve">FRAMEWORKS</w:t>
      </w:r>
    </w:p>
    <w:p>
      <w:pPr>
        <w:spacing w:after="100" w:before="0"/>
      </w:pPr>
      <w:r>
        <w:rPr>
          <w:rFonts w:ascii="Arial" w:cs="Arial" w:eastAsia="Arial" w:hAnsi="Arial"/>
          <w:b/>
          <w:bCs/>
          <w:color w:val="0D0D1A"/>
          <w:sz w:val="28"/>
          <w:szCs w:val="28"/>
        </w:rPr>
        <w:t xml:space="preserve">Models Applied</w:t>
      </w:r>
    </w:p>
    <w:p>
      <w:pPr>
        <w:spacing w:after="0" w:before="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DDDDD" w:sz="1"/>
              <w:left w:val="single" w:color="DDDDDD" w:sz="1"/>
              <w:bottom w:val="single" w:color="DDDDDD" w:sz="1"/>
              <w:right w:val="single" w:color="DDDDDD" w:sz="1"/>
            </w:tcBorders>
            <w:shd w:fill="0D0D1A" w:val="clear"/>
            <w:tcMar>
              <w:top w:type="dxa" w:w="80"/>
              <w:left w:type="dxa" w:w="140"/>
              <w:bottom w:type="dxa" w:w="80"/>
              <w:right w:type="dxa" w:w="140"/>
            </w:tcMar>
          </w:tcPr>
          <w:p>
            <w:r>
              <w:rPr>
                <w:rFonts w:ascii="Arial" w:cs="Arial" w:eastAsia="Arial" w:hAnsi="Arial"/>
                <w:b/>
                <w:bCs/>
                <w:color w:val="B8860B"/>
                <w:sz w:val="18"/>
                <w:szCs w:val="18"/>
              </w:rPr>
              <w:t xml:space="preserve">Model</w:t>
            </w:r>
          </w:p>
        </w:tc>
        <w:tc>
          <w:tcPr>
            <w:tcW w:type="dxa" w:w="6760"/>
            <w:tcBorders>
              <w:top w:val="single" w:color="DDDDDD" w:sz="1"/>
              <w:left w:val="single" w:color="DDDDDD" w:sz="1"/>
              <w:bottom w:val="single" w:color="DDDDDD" w:sz="1"/>
              <w:right w:val="single" w:color="DDDDDD" w:sz="1"/>
            </w:tcBorders>
            <w:shd w:fill="0D0D1A" w:val="clear"/>
            <w:tcMar>
              <w:top w:type="dxa" w:w="80"/>
              <w:left w:type="dxa" w:w="140"/>
              <w:bottom w:type="dxa" w:w="80"/>
              <w:right w:type="dxa" w:w="140"/>
            </w:tcMar>
          </w:tcPr>
          <w:p>
            <w:r>
              <w:rPr>
                <w:rFonts w:ascii="Arial" w:cs="Arial" w:eastAsia="Arial" w:hAnsi="Arial"/>
                <w:b/>
                <w:bCs/>
                <w:color w:val="B8860B"/>
                <w:sz w:val="18"/>
                <w:szCs w:val="18"/>
              </w:rPr>
              <w:t xml:space="preserve">Application in this case</w:t>
            </w:r>
          </w:p>
        </w:tc>
      </w:tr>
      <w:tr>
        <w:tc>
          <w:tcPr>
            <w:tcW w:type="dxa" w:w="2600"/>
            <w:tcBorders>
              <w:top w:val="single" w:color="DDDDDD" w:sz="1"/>
              <w:left w:val="single" w:color="DDDDDD" w:sz="1"/>
              <w:bottom w:val="single" w:color="DDDDDD" w:sz="1"/>
              <w:right w:val="single" w:color="DDDDDD" w:sz="1"/>
            </w:tcBorders>
            <w:shd w:fill="F7F7F4" w:val="clear"/>
            <w:tcMar>
              <w:top w:type="dxa" w:w="80"/>
              <w:left w:type="dxa" w:w="140"/>
              <w:bottom w:type="dxa" w:w="80"/>
              <w:right w:type="dxa" w:w="140"/>
            </w:tcMar>
          </w:tcPr>
          <w:p>
            <w:r>
              <w:rPr>
                <w:rFonts w:ascii="Arial" w:cs="Arial" w:eastAsia="Arial" w:hAnsi="Arial"/>
                <w:b/>
                <w:bCs/>
                <w:color w:val="0D0D1A"/>
                <w:sz w:val="20"/>
                <w:szCs w:val="20"/>
              </w:rPr>
              <w:t xml:space="preserve">Risk Escalation Protocol</w:t>
            </w:r>
          </w:p>
        </w:tc>
        <w:tc>
          <w:tcPr>
            <w:tcW w:type="dxa" w:w="6760"/>
            <w:tcBorders>
              <w:top w:val="single" w:color="DDDDDD" w:sz="1"/>
              <w:left w:val="single" w:color="DDDDDD" w:sz="1"/>
              <w:bottom w:val="single" w:color="DDDDDD" w:sz="1"/>
              <w:right w:val="single" w:color="DDDDDD" w:sz="1"/>
            </w:tcBorders>
            <w:shd w:fill="F7F7F4" w:val="clear"/>
            <w:tcMar>
              <w:top w:type="dxa" w:w="80"/>
              <w:left w:type="dxa" w:w="140"/>
              <w:bottom w:type="dxa" w:w="80"/>
              <w:right w:type="dxa" w:w="140"/>
            </w:tcMar>
          </w:tcPr>
          <w:p>
            <w:r>
              <w:rPr>
                <w:rFonts w:ascii="Arial" w:cs="Arial" w:eastAsia="Arial" w:hAnsi="Arial"/>
                <w:color w:val="0D0D1A"/>
                <w:sz w:val="20"/>
                <w:szCs w:val="20"/>
              </w:rPr>
              <w:t xml:space="preserve">A structured approach ensuring that any documented risk raise is acknowledged and acted upon by the decision-makers within a defined timeframe.</w:t>
            </w:r>
          </w:p>
        </w:tc>
      </w:tr>
      <w:tr>
        <w:tc>
          <w:tcPr>
            <w:tcW w:type="dxa" w:w="2600"/>
            <w:tcBorders>
              <w:top w:val="single" w:color="DDDDDD" w:sz="1"/>
              <w:left w:val="single" w:color="DDDDDD" w:sz="1"/>
              <w:bottom w:val="single" w:color="DDDDDD" w:sz="1"/>
              <w:right w:val="single" w:color="DDDDDD" w:sz="1"/>
            </w:tcBorders>
            <w:shd w:fill="FFFFFF" w:val="clear"/>
            <w:tcMar>
              <w:top w:type="dxa" w:w="80"/>
              <w:left w:type="dxa" w:w="140"/>
              <w:bottom w:type="dxa" w:w="80"/>
              <w:right w:type="dxa" w:w="140"/>
            </w:tcMar>
          </w:tcPr>
          <w:p>
            <w:r>
              <w:rPr>
                <w:rFonts w:ascii="Arial" w:cs="Arial" w:eastAsia="Arial" w:hAnsi="Arial"/>
                <w:b/>
                <w:bCs/>
                <w:color w:val="0D0D1A"/>
                <w:sz w:val="20"/>
                <w:szCs w:val="20"/>
              </w:rPr>
              <w:t xml:space="preserve">Accountability Framework</w:t>
            </w:r>
          </w:p>
        </w:tc>
        <w:tc>
          <w:tcPr>
            <w:tcW w:type="dxa" w:w="6760"/>
            <w:tcBorders>
              <w:top w:val="single" w:color="DDDDDD" w:sz="1"/>
              <w:left w:val="single" w:color="DDDDDD" w:sz="1"/>
              <w:bottom w:val="single" w:color="DDDDDD" w:sz="1"/>
              <w:right w:val="single" w:color="DDDDDD" w:sz="1"/>
            </w:tcBorders>
            <w:shd w:fill="FFFFFF" w:val="clear"/>
            <w:tcMar>
              <w:top w:type="dxa" w:w="80"/>
              <w:left w:type="dxa" w:w="140"/>
              <w:bottom w:type="dxa" w:w="80"/>
              <w:right w:type="dxa" w:w="140"/>
            </w:tcMar>
          </w:tcPr>
          <w:p>
            <w:r>
              <w:rPr>
                <w:rFonts w:ascii="Arial" w:cs="Arial" w:eastAsia="Arial" w:hAnsi="Arial"/>
                <w:color w:val="0D0D1A"/>
                <w:sz w:val="20"/>
                <w:szCs w:val="20"/>
              </w:rPr>
              <w:t xml:space="preserve">Specifies roles and responsibilities for each stage of risk assessment, ensuring that no concerns can be dismissed without justification.</w:t>
            </w:r>
          </w:p>
        </w:tc>
      </w:tr>
      <w:tr>
        <w:tc>
          <w:tcPr>
            <w:tcW w:type="dxa" w:w="2600"/>
            <w:tcBorders>
              <w:top w:val="single" w:color="DDDDDD" w:sz="1"/>
              <w:left w:val="single" w:color="DDDDDD" w:sz="1"/>
              <w:bottom w:val="single" w:color="DDDDDD" w:sz="1"/>
              <w:right w:val="single" w:color="DDDDDD" w:sz="1"/>
            </w:tcBorders>
            <w:shd w:fill="F7F7F4" w:val="clear"/>
            <w:tcMar>
              <w:top w:type="dxa" w:w="80"/>
              <w:left w:type="dxa" w:w="140"/>
              <w:bottom w:type="dxa" w:w="80"/>
              <w:right w:type="dxa" w:w="140"/>
            </w:tcMar>
          </w:tcPr>
          <w:p>
            <w:r>
              <w:rPr>
                <w:rFonts w:ascii="Arial" w:cs="Arial" w:eastAsia="Arial" w:hAnsi="Arial"/>
                <w:b/>
                <w:bCs/>
                <w:color w:val="0D0D1A"/>
                <w:sz w:val="20"/>
                <w:szCs w:val="20"/>
              </w:rPr>
              <w:t xml:space="preserve">Integrated Risk Dashboard</w:t>
            </w:r>
          </w:p>
        </w:tc>
        <w:tc>
          <w:tcPr>
            <w:tcW w:type="dxa" w:w="6760"/>
            <w:tcBorders>
              <w:top w:val="single" w:color="DDDDDD" w:sz="1"/>
              <w:left w:val="single" w:color="DDDDDD" w:sz="1"/>
              <w:bottom w:val="single" w:color="DDDDDD" w:sz="1"/>
              <w:right w:val="single" w:color="DDDDDD" w:sz="1"/>
            </w:tcBorders>
            <w:shd w:fill="F7F7F4" w:val="clear"/>
            <w:tcMar>
              <w:top w:type="dxa" w:w="80"/>
              <w:left w:type="dxa" w:w="140"/>
              <w:bottom w:type="dxa" w:w="80"/>
              <w:right w:type="dxa" w:w="140"/>
            </w:tcMar>
          </w:tcPr>
          <w:p>
            <w:r>
              <w:rPr>
                <w:rFonts w:ascii="Arial" w:cs="Arial" w:eastAsia="Arial" w:hAnsi="Arial"/>
                <w:color w:val="0D0D1A"/>
                <w:sz w:val="20"/>
                <w:szCs w:val="20"/>
              </w:rPr>
              <w:t xml:space="preserve">A real-time risk visualization tool that aggregates escalated risks, making information accessible and clear for senior management.</w:t>
            </w:r>
          </w:p>
        </w:tc>
      </w:tr>
      <w:tr>
        <w:tc>
          <w:tcPr>
            <w:tcW w:type="dxa" w:w="2600"/>
            <w:tcBorders>
              <w:top w:val="single" w:color="DDDDDD" w:sz="1"/>
              <w:left w:val="single" w:color="DDDDDD" w:sz="1"/>
              <w:bottom w:val="single" w:color="DDDDDD" w:sz="1"/>
              <w:right w:val="single" w:color="DDDDDD" w:sz="1"/>
            </w:tcBorders>
            <w:shd w:fill="FFFFFF" w:val="clear"/>
            <w:tcMar>
              <w:top w:type="dxa" w:w="80"/>
              <w:left w:type="dxa" w:w="140"/>
              <w:bottom w:type="dxa" w:w="80"/>
              <w:right w:type="dxa" w:w="140"/>
            </w:tcMar>
          </w:tcPr>
          <w:p>
            <w:r>
              <w:rPr>
                <w:rFonts w:ascii="Arial" w:cs="Arial" w:eastAsia="Arial" w:hAnsi="Arial"/>
                <w:b/>
                <w:bCs/>
                <w:color w:val="0D0D1A"/>
                <w:sz w:val="20"/>
                <w:szCs w:val="20"/>
              </w:rPr>
              <w:t xml:space="preserve">Risk Culture Assessment</w:t>
            </w:r>
          </w:p>
        </w:tc>
        <w:tc>
          <w:tcPr>
            <w:tcW w:type="dxa" w:w="6760"/>
            <w:tcBorders>
              <w:top w:val="single" w:color="DDDDDD" w:sz="1"/>
              <w:left w:val="single" w:color="DDDDDD" w:sz="1"/>
              <w:bottom w:val="single" w:color="DDDDDD" w:sz="1"/>
              <w:right w:val="single" w:color="DDDDDD" w:sz="1"/>
            </w:tcBorders>
            <w:shd w:fill="FFFFFF" w:val="clear"/>
            <w:tcMar>
              <w:top w:type="dxa" w:w="80"/>
              <w:left w:type="dxa" w:w="140"/>
              <w:bottom w:type="dxa" w:w="80"/>
              <w:right w:type="dxa" w:w="140"/>
            </w:tcMar>
          </w:tcPr>
          <w:p>
            <w:r>
              <w:rPr>
                <w:rFonts w:ascii="Arial" w:cs="Arial" w:eastAsia="Arial" w:hAnsi="Arial"/>
                <w:color w:val="0D0D1A"/>
                <w:sz w:val="20"/>
                <w:szCs w:val="20"/>
              </w:rPr>
              <w:t xml:space="preserve">A method for evaluating the organization's culture towards risks, helping identify weaknesses and areas for improvement in governance.</w:t>
            </w:r>
          </w:p>
        </w:tc>
      </w:tr>
      <w:tr>
        <w:tc>
          <w:tcPr>
            <w:tcW w:type="dxa" w:w="2600"/>
            <w:tcBorders>
              <w:top w:val="single" w:color="DDDDDD" w:sz="1"/>
              <w:left w:val="single" w:color="DDDDDD" w:sz="1"/>
              <w:bottom w:val="single" w:color="DDDDDD" w:sz="1"/>
              <w:right w:val="single" w:color="DDDDDD" w:sz="1"/>
            </w:tcBorders>
            <w:shd w:fill="F7F7F4" w:val="clear"/>
            <w:tcMar>
              <w:top w:type="dxa" w:w="80"/>
              <w:left w:type="dxa" w:w="140"/>
              <w:bottom w:type="dxa" w:w="80"/>
              <w:right w:type="dxa" w:w="140"/>
            </w:tcMar>
          </w:tcPr>
          <w:p>
            <w:r>
              <w:rPr>
                <w:rFonts w:ascii="Arial" w:cs="Arial" w:eastAsia="Arial" w:hAnsi="Arial"/>
                <w:b/>
                <w:bCs/>
                <w:color w:val="0D0D1A"/>
                <w:sz w:val="20"/>
                <w:szCs w:val="20"/>
              </w:rPr>
              <w:t xml:space="preserve">Decision Rights Matrix</w:t>
            </w:r>
          </w:p>
        </w:tc>
        <w:tc>
          <w:tcPr>
            <w:tcW w:type="dxa" w:w="6760"/>
            <w:tcBorders>
              <w:top w:val="single" w:color="DDDDDD" w:sz="1"/>
              <w:left w:val="single" w:color="DDDDDD" w:sz="1"/>
              <w:bottom w:val="single" w:color="DDDDDD" w:sz="1"/>
              <w:right w:val="single" w:color="DDDDDD" w:sz="1"/>
            </w:tcBorders>
            <w:shd w:fill="F7F7F4" w:val="clear"/>
            <w:tcMar>
              <w:top w:type="dxa" w:w="80"/>
              <w:left w:type="dxa" w:w="140"/>
              <w:bottom w:type="dxa" w:w="80"/>
              <w:right w:type="dxa" w:w="140"/>
            </w:tcMar>
          </w:tcPr>
          <w:p>
            <w:r>
              <w:rPr>
                <w:rFonts w:ascii="Arial" w:cs="Arial" w:eastAsia="Arial" w:hAnsi="Arial"/>
                <w:color w:val="0D0D1A"/>
                <w:sz w:val="20"/>
                <w:szCs w:val="20"/>
              </w:rPr>
              <w:t xml:space="preserve">A governance tool that defines who has authority over risk decisions, clarifying the process and ensuring responsible parties are held accountable.</w:t>
            </w:r>
          </w:p>
        </w:tc>
      </w:tr>
    </w:tbl>
    <w:p>
      <w:pPr>
        <w:spacing w:after="0" w:before="120"/>
      </w:pPr>
    </w:p>
    <w:p>
      <w:pPr>
        <w:spacing w:after="60" w:before="200"/>
      </w:pPr>
      <w:r>
        <w:rPr>
          <w:rFonts w:ascii="Arial" w:cs="Arial" w:eastAsia="Arial" w:hAnsi="Arial"/>
          <w:b/>
          <w:bCs/>
          <w:color w:val="B8860B"/>
          <w:spacing w:val="80"/>
          <w:sz w:val="16"/>
          <w:szCs w:val="16"/>
        </w:rPr>
        <w:t xml:space="preserve">FOR DISCUSSION</w:t>
      </w:r>
    </w:p>
    <w:p>
      <w:pPr>
        <w:spacing w:after="100" w:before="0"/>
      </w:pPr>
      <w:r>
        <w:rPr>
          <w:rFonts w:ascii="Arial" w:cs="Arial" w:eastAsia="Arial" w:hAnsi="Arial"/>
          <w:b/>
          <w:bCs/>
          <w:color w:val="0D0D1A"/>
          <w:sz w:val="28"/>
          <w:szCs w:val="28"/>
        </w:rPr>
        <w:t xml:space="preserve">Discussion Questions</w:t>
      </w:r>
    </w:p>
    <w:p>
      <w:pPr>
        <w:spacing w:after="0" w:before="60"/>
      </w:pPr>
    </w:p>
    <w:p>
      <w:pPr>
        <w:spacing w:after="80" w:before="80"/>
      </w:pPr>
      <w:r>
        <w:rPr>
          <w:rFonts w:ascii="Arial" w:cs="Arial" w:eastAsia="Arial" w:hAnsi="Arial"/>
          <w:b/>
          <w:bCs/>
          <w:color w:val="B8860B"/>
          <w:sz w:val="22"/>
          <w:szCs w:val="22"/>
        </w:rPr>
        <w:t xml:space="preserve">1.  </w:t>
      </w:r>
      <w:r>
        <w:rPr>
          <w:rFonts w:ascii="Arial" w:cs="Arial" w:eastAsia="Arial" w:hAnsi="Arial"/>
          <w:color w:val="0D0D1A"/>
          <w:sz w:val="22"/>
          <w:szCs w:val="22"/>
        </w:rPr>
        <w:t xml:space="preserve">What specific factors contributed to the management's decision to ignore the risk officer’s escalations?</w:t>
      </w:r>
    </w:p>
    <w:p>
      <w:pPr>
        <w:spacing w:after="80" w:before="80"/>
      </w:pPr>
      <w:r>
        <w:rPr>
          <w:rFonts w:ascii="Arial" w:cs="Arial" w:eastAsia="Arial" w:hAnsi="Arial"/>
          <w:b/>
          <w:bCs/>
          <w:color w:val="B8860B"/>
          <w:sz w:val="22"/>
          <w:szCs w:val="22"/>
        </w:rPr>
        <w:t xml:space="preserve">2.  </w:t>
      </w:r>
      <w:r>
        <w:rPr>
          <w:rFonts w:ascii="Arial" w:cs="Arial" w:eastAsia="Arial" w:hAnsi="Arial"/>
          <w:color w:val="0D0D1A"/>
          <w:sz w:val="22"/>
          <w:szCs w:val="22"/>
        </w:rPr>
        <w:t xml:space="preserve">How can an organization implement effective risk governance that empowers risk officers?</w:t>
      </w:r>
    </w:p>
    <w:p>
      <w:pPr>
        <w:spacing w:after="80" w:before="80"/>
      </w:pPr>
      <w:r>
        <w:rPr>
          <w:rFonts w:ascii="Arial" w:cs="Arial" w:eastAsia="Arial" w:hAnsi="Arial"/>
          <w:b/>
          <w:bCs/>
          <w:color w:val="B8860B"/>
          <w:sz w:val="22"/>
          <w:szCs w:val="22"/>
        </w:rPr>
        <w:t xml:space="preserve">3.  </w:t>
      </w:r>
      <w:r>
        <w:rPr>
          <w:rFonts w:ascii="Arial" w:cs="Arial" w:eastAsia="Arial" w:hAnsi="Arial"/>
          <w:color w:val="0D0D1A"/>
          <w:sz w:val="22"/>
          <w:szCs w:val="22"/>
        </w:rPr>
        <w:t xml:space="preserve">What role does corporate culture play in responding to risk warnings?</w:t>
      </w:r>
    </w:p>
    <w:p>
      <w:pPr>
        <w:spacing w:after="80" w:before="80"/>
      </w:pPr>
      <w:r>
        <w:rPr>
          <w:rFonts w:ascii="Arial" w:cs="Arial" w:eastAsia="Arial" w:hAnsi="Arial"/>
          <w:b/>
          <w:bCs/>
          <w:color w:val="B8860B"/>
          <w:sz w:val="22"/>
          <w:szCs w:val="22"/>
        </w:rPr>
        <w:t xml:space="preserve">4.  </w:t>
      </w:r>
      <w:r>
        <w:rPr>
          <w:rFonts w:ascii="Arial" w:cs="Arial" w:eastAsia="Arial" w:hAnsi="Arial"/>
          <w:color w:val="0D0D1A"/>
          <w:sz w:val="22"/>
          <w:szCs w:val="22"/>
        </w:rPr>
        <w:t xml:space="preserve">How might the organization have benefited from a formal escalation protocol?</w:t>
      </w:r>
    </w:p>
    <w:p>
      <w:pPr>
        <w:spacing w:after="80" w:before="80"/>
      </w:pPr>
      <w:r>
        <w:rPr>
          <w:rFonts w:ascii="Arial" w:cs="Arial" w:eastAsia="Arial" w:hAnsi="Arial"/>
          <w:b/>
          <w:bCs/>
          <w:color w:val="B8860B"/>
          <w:sz w:val="22"/>
          <w:szCs w:val="22"/>
        </w:rPr>
        <w:t xml:space="preserve">5.  </w:t>
      </w:r>
      <w:r>
        <w:rPr>
          <w:rFonts w:ascii="Arial" w:cs="Arial" w:eastAsia="Arial" w:hAnsi="Arial"/>
          <w:color w:val="0D0D1A"/>
          <w:sz w:val="22"/>
          <w:szCs w:val="22"/>
        </w:rPr>
        <w:t xml:space="preserve">What structural changes would you recommend to prevent future incidents of ignored warnings?</w:t>
      </w:r>
    </w:p>
    <w:p>
      <w:pPr>
        <w:spacing w:after="0" w:before="120"/>
      </w:pPr>
    </w:p>
    <w:p>
      <w:pPr>
        <w:spacing w:after="60" w:before="200"/>
      </w:pPr>
      <w:r>
        <w:rPr>
          <w:rFonts w:ascii="Arial" w:cs="Arial" w:eastAsia="Arial" w:hAnsi="Arial"/>
          <w:b/>
          <w:bCs/>
          <w:color w:val="B8860B"/>
          <w:spacing w:val="80"/>
          <w:sz w:val="16"/>
          <w:szCs w:val="16"/>
        </w:rPr>
        <w:t xml:space="preserve">GOVERNANCE DIRECTIVES</w:t>
      </w:r>
    </w:p>
    <w:p>
      <w:pPr>
        <w:spacing w:after="100" w:before="0"/>
      </w:pPr>
      <w:r>
        <w:rPr>
          <w:rFonts w:ascii="Arial" w:cs="Arial" w:eastAsia="Arial" w:hAnsi="Arial"/>
          <w:b/>
          <w:bCs/>
          <w:color w:val="0D0D1A"/>
          <w:sz w:val="28"/>
          <w:szCs w:val="28"/>
        </w:rPr>
        <w:t xml:space="preserve">Boardroom Takeaways</w:t>
      </w:r>
    </w:p>
    <w:p>
      <w:pPr>
        <w:spacing w:after="0" w:before="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8760"/>
      </w:tblGrid>
      <w:tr>
        <w:tc>
          <w:tcPr>
            <w:tcW w:type="dxa" w:w="600"/>
            <w:tcBorders>
              <w:top w:val="none" w:color="FFFFFF" w:sz="0"/>
              <w:left w:val="none" w:color="FFFFFF" w:sz="0"/>
              <w:bottom w:val="none" w:color="FFFFFF" w:sz="0"/>
              <w:right w:val="none" w:color="FFFFFF" w:sz="0"/>
            </w:tcBorders>
            <w:shd w:fill="0D0D1A" w:val="clear"/>
            <w:tcMar>
              <w:top w:type="dxa" w:w="120"/>
              <w:left w:type="dxa" w:w="120"/>
              <w:bottom w:type="dxa" w:w="120"/>
              <w:right w:type="dxa" w:w="120"/>
            </w:tcMar>
          </w:tcPr>
          <w:p>
            <w:pPr>
              <w:jc w:val="center"/>
            </w:pPr>
            <w:r>
              <w:rPr>
                <w:rFonts w:ascii="Arial" w:cs="Arial" w:eastAsia="Arial" w:hAnsi="Arial"/>
                <w:b/>
                <w:bCs/>
                <w:color w:val="B8860B"/>
                <w:sz w:val="24"/>
                <w:szCs w:val="24"/>
              </w:rPr>
              <w:t xml:space="preserve">01</w:t>
            </w:r>
          </w:p>
        </w:tc>
        <w:tc>
          <w:tcPr>
            <w:tcW w:type="dxa" w:w="8760"/>
            <w:tcBorders>
              <w:top w:val="single" w:color="DDDDDD" w:sz="1"/>
              <w:left w:val="none" w:color="FFFFFF" w:sz="0"/>
              <w:bottom w:val="single" w:color="DDDDDD" w:sz="1"/>
              <w:right w:val="single" w:color="DDDDDD" w:sz="1"/>
            </w:tcBorders>
            <w:shd w:fill="F7F7F4" w:val="clear"/>
            <w:tcMar>
              <w:top w:type="dxa" w:w="120"/>
              <w:left w:type="dxa" w:w="200"/>
              <w:bottom w:type="dxa" w:w="120"/>
              <w:right w:type="dxa" w:w="200"/>
            </w:tcMar>
          </w:tcPr>
          <w:p>
            <w:pPr>
              <w:spacing w:after="0" w:before="0"/>
            </w:pPr>
            <w:r>
              <w:rPr>
                <w:rFonts w:ascii="Arial" w:cs="Arial" w:eastAsia="Arial" w:hAnsi="Arial"/>
                <w:color w:val="0D0D1A"/>
                <w:sz w:val="21"/>
                <w:szCs w:val="21"/>
              </w:rPr>
              <w:t xml:space="preserve">Establish a mandatory escalation protocol requiring documented responses to all risk warnings, ensuring accountability at all levels.</w:t>
            </w:r>
          </w:p>
        </w:tc>
      </w:tr>
    </w:tbl>
    <w:p>
      <w:pPr>
        <w:spacing w:after="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8760"/>
      </w:tblGrid>
      <w:tr>
        <w:tc>
          <w:tcPr>
            <w:tcW w:type="dxa" w:w="600"/>
            <w:tcBorders>
              <w:top w:val="none" w:color="FFFFFF" w:sz="0"/>
              <w:left w:val="none" w:color="FFFFFF" w:sz="0"/>
              <w:bottom w:val="none" w:color="FFFFFF" w:sz="0"/>
              <w:right w:val="none" w:color="FFFFFF" w:sz="0"/>
            </w:tcBorders>
            <w:shd w:fill="0D0D1A" w:val="clear"/>
            <w:tcMar>
              <w:top w:type="dxa" w:w="120"/>
              <w:left w:type="dxa" w:w="120"/>
              <w:bottom w:type="dxa" w:w="120"/>
              <w:right w:type="dxa" w:w="120"/>
            </w:tcMar>
          </w:tcPr>
          <w:p>
            <w:pPr>
              <w:jc w:val="center"/>
            </w:pPr>
            <w:r>
              <w:rPr>
                <w:rFonts w:ascii="Arial" w:cs="Arial" w:eastAsia="Arial" w:hAnsi="Arial"/>
                <w:b/>
                <w:bCs/>
                <w:color w:val="B8860B"/>
                <w:sz w:val="24"/>
                <w:szCs w:val="24"/>
              </w:rPr>
              <w:t xml:space="preserve">02</w:t>
            </w:r>
          </w:p>
        </w:tc>
        <w:tc>
          <w:tcPr>
            <w:tcW w:type="dxa" w:w="8760"/>
            <w:tcBorders>
              <w:top w:val="single" w:color="DDDDDD" w:sz="1"/>
              <w:left w:val="none" w:color="FFFFFF" w:sz="0"/>
              <w:bottom w:val="single" w:color="DDDDDD" w:sz="1"/>
              <w:right w:val="single" w:color="DDDDDD" w:sz="1"/>
            </w:tcBorders>
            <w:shd w:fill="F7F7F4" w:val="clear"/>
            <w:tcMar>
              <w:top w:type="dxa" w:w="120"/>
              <w:left w:type="dxa" w:w="200"/>
              <w:bottom w:type="dxa" w:w="120"/>
              <w:right w:type="dxa" w:w="200"/>
            </w:tcMar>
          </w:tcPr>
          <w:p>
            <w:pPr>
              <w:spacing w:after="0" w:before="0"/>
            </w:pPr>
            <w:r>
              <w:rPr>
                <w:rFonts w:ascii="Arial" w:cs="Arial" w:eastAsia="Arial" w:hAnsi="Arial"/>
                <w:color w:val="0D0D1A"/>
                <w:sz w:val="21"/>
                <w:szCs w:val="21"/>
              </w:rPr>
              <w:t xml:space="preserve">Conduct regular governance assessments focused on risk management practices to ensure that concerns are integrated into strategy.</w:t>
            </w:r>
          </w:p>
        </w:tc>
      </w:tr>
    </w:tbl>
    <w:p>
      <w:pPr>
        <w:spacing w:after="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8760"/>
      </w:tblGrid>
      <w:tr>
        <w:tc>
          <w:tcPr>
            <w:tcW w:type="dxa" w:w="600"/>
            <w:tcBorders>
              <w:top w:val="none" w:color="FFFFFF" w:sz="0"/>
              <w:left w:val="none" w:color="FFFFFF" w:sz="0"/>
              <w:bottom w:val="none" w:color="FFFFFF" w:sz="0"/>
              <w:right w:val="none" w:color="FFFFFF" w:sz="0"/>
            </w:tcBorders>
            <w:shd w:fill="0D0D1A" w:val="clear"/>
            <w:tcMar>
              <w:top w:type="dxa" w:w="120"/>
              <w:left w:type="dxa" w:w="120"/>
              <w:bottom w:type="dxa" w:w="120"/>
              <w:right w:type="dxa" w:w="120"/>
            </w:tcMar>
          </w:tcPr>
          <w:p>
            <w:pPr>
              <w:jc w:val="center"/>
            </w:pPr>
            <w:r>
              <w:rPr>
                <w:rFonts w:ascii="Arial" w:cs="Arial" w:eastAsia="Arial" w:hAnsi="Arial"/>
                <w:b/>
                <w:bCs/>
                <w:color w:val="B8860B"/>
                <w:sz w:val="24"/>
                <w:szCs w:val="24"/>
              </w:rPr>
              <w:t xml:space="preserve">03</w:t>
            </w:r>
          </w:p>
        </w:tc>
        <w:tc>
          <w:tcPr>
            <w:tcW w:type="dxa" w:w="8760"/>
            <w:tcBorders>
              <w:top w:val="single" w:color="DDDDDD" w:sz="1"/>
              <w:left w:val="none" w:color="FFFFFF" w:sz="0"/>
              <w:bottom w:val="single" w:color="DDDDDD" w:sz="1"/>
              <w:right w:val="single" w:color="DDDDDD" w:sz="1"/>
            </w:tcBorders>
            <w:shd w:fill="F7F7F4" w:val="clear"/>
            <w:tcMar>
              <w:top w:type="dxa" w:w="120"/>
              <w:left w:type="dxa" w:w="200"/>
              <w:bottom w:type="dxa" w:w="120"/>
              <w:right w:type="dxa" w:w="200"/>
            </w:tcMar>
          </w:tcPr>
          <w:p>
            <w:pPr>
              <w:spacing w:after="0" w:before="0"/>
            </w:pPr>
            <w:r>
              <w:rPr>
                <w:rFonts w:ascii="Arial" w:cs="Arial" w:eastAsia="Arial" w:hAnsi="Arial"/>
                <w:color w:val="0D0D1A"/>
                <w:sz w:val="21"/>
                <w:szCs w:val="21"/>
              </w:rPr>
              <w:t xml:space="preserve">Enhance the structural authority of risk officers, granting them the ability to present critical risks directly to the Board without intermediary barriers.</w:t>
            </w:r>
          </w:p>
        </w:tc>
      </w:tr>
    </w:tbl>
    <w:p>
      <w:pPr>
        <w:spacing w:after="0" w:before="60"/>
      </w:pPr>
    </w:p>
    <w:p>
      <w:pPr>
        <w:pBdr>
          <w:bottom w:val="single" w:color="D4AF37" w:sz="4" w:space="1"/>
        </w:pBdr>
        <w:spacing w:after="160" w:before="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500"/>
        <w:gridCol w:w="3860"/>
      </w:tblGrid>
      <w:tr>
        <w:tc>
          <w:tcPr>
            <w:tcW w:type="dxa" w:w="5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before="0"/>
            </w:pPr>
            <w:r>
              <w:rPr>
                <w:rFonts w:ascii="Arial" w:cs="Arial" w:eastAsia="Arial" w:hAnsi="Arial"/>
                <w:i/>
                <w:iCs/>
                <w:color w:val="4A4A6A"/>
                <w:sz w:val="18"/>
                <w:szCs w:val="18"/>
              </w:rPr>
              <w:t xml:space="preserve">This case is designed to improve judgement, not merely convey history.</w:t>
            </w:r>
          </w:p>
          <w:p>
            <w:pPr>
              <w:spacing w:after="0" w:before="0"/>
            </w:pPr>
            <w:r>
              <w:rPr>
                <w:rFonts w:ascii="Arial" w:cs="Arial" w:eastAsia="Arial" w:hAnsi="Arial"/>
                <w:color w:val="AAAAAA"/>
                <w:sz w:val="16"/>
                <w:szCs w:val="16"/>
              </w:rPr>
              <w:t xml:space="preserve">All persons, institutions, and events are entirely fictional.</w:t>
            </w:r>
          </w:p>
        </w:tc>
        <w:tc>
          <w:tcPr>
            <w:tcW w:type="dxa" w:w="38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before="0"/>
              <w:jc w:val="right"/>
            </w:pPr>
            <w:r>
              <w:rPr>
                <w:rFonts w:ascii="Arial" w:cs="Arial" w:eastAsia="Arial" w:hAnsi="Arial"/>
                <w:color w:val="B8860B"/>
                <w:sz w:val="18"/>
                <w:szCs w:val="18"/>
              </w:rPr>
              <w:t xml:space="preserve">Watch: https://youtu.be/MVFXvHZrcys</w:t>
            </w:r>
          </w:p>
          <w:p>
            <w:pPr>
              <w:spacing w:after="0" w:before="0"/>
              <w:jc w:val="right"/>
            </w:pPr>
            <w:r>
              <w:rPr>
                <w:rFonts w:ascii="Arial" w:cs="Arial" w:eastAsia="Arial" w:hAnsi="Arial"/>
                <w:color w:val="4A4A6A"/>
                <w:sz w:val="16"/>
                <w:szCs w:val="16"/>
              </w:rPr>
              <w:t xml:space="preserve">CF-001  ·  OBMN Case Library</w:t>
            </w:r>
          </w:p>
        </w:tc>
      </w:tr>
    </w:tbl>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2026-09-13T09:32:00.158Z</dcterms:created>
  <dcterms:modified xsi:type="dcterms:W3CDTF">2026-09-13T09:32:00.158Z</dcterms:modified>
</cp:coreProperties>
</file>

<file path=docProps/custom.xml><?xml version="1.0" encoding="utf-8"?>
<Properties xmlns="http://schemas.openxmlformats.org/officeDocument/2006/custom-properties" xmlns:vt="http://schemas.openxmlformats.org/officeDocument/2006/docPropsVTypes"/>
</file>